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1804B" w14:textId="236EF7CE" w:rsidR="00434EB5" w:rsidRPr="002723F1" w:rsidRDefault="001B35CD" w:rsidP="002723F1">
      <w:pPr>
        <w:jc w:val="center"/>
        <w:rPr>
          <w:rFonts w:ascii="Calibri" w:hAnsi="Calibri" w:cs="Calibri"/>
          <w:b/>
          <w:bCs/>
          <w:color w:val="156082" w:themeColor="accent1"/>
          <w:sz w:val="22"/>
          <w:szCs w:val="22"/>
        </w:rPr>
      </w:pPr>
      <w:r>
        <w:rPr>
          <w:rFonts w:ascii="Calibri" w:hAnsi="Calibri" w:cs="Calibri"/>
          <w:b/>
          <w:bCs/>
          <w:color w:val="156082" w:themeColor="accent1"/>
          <w:sz w:val="22"/>
          <w:szCs w:val="22"/>
        </w:rPr>
        <w:t>P</w:t>
      </w:r>
      <w:r w:rsidR="00986F55">
        <w:rPr>
          <w:rFonts w:ascii="Calibri" w:hAnsi="Calibri" w:cs="Calibri"/>
          <w:b/>
          <w:bCs/>
          <w:color w:val="156082" w:themeColor="accent1"/>
          <w:sz w:val="22"/>
          <w:szCs w:val="22"/>
        </w:rPr>
        <w:t>ROPOSED</w:t>
      </w:r>
      <w:r>
        <w:rPr>
          <w:rFonts w:ascii="Calibri" w:hAnsi="Calibri" w:cs="Calibri"/>
          <w:b/>
          <w:bCs/>
          <w:color w:val="156082" w:themeColor="accent1"/>
          <w:sz w:val="22"/>
          <w:szCs w:val="22"/>
        </w:rPr>
        <w:t xml:space="preserve"> </w:t>
      </w:r>
      <w:r w:rsidR="00434EB5" w:rsidRPr="002723F1">
        <w:rPr>
          <w:rFonts w:ascii="Calibri" w:hAnsi="Calibri" w:cs="Calibri"/>
          <w:b/>
          <w:bCs/>
          <w:color w:val="156082" w:themeColor="accent1"/>
          <w:sz w:val="22"/>
          <w:szCs w:val="22"/>
        </w:rPr>
        <w:t>HOSPITAL INSTALLATION OF FOCAL THERAPY EQUIPMENT ON A RENTAL BASIS</w:t>
      </w:r>
    </w:p>
    <w:p w14:paraId="0B22B90B" w14:textId="77777777" w:rsidR="002723F1" w:rsidRPr="002723F1" w:rsidRDefault="002723F1" w:rsidP="00434EB5">
      <w:pPr>
        <w:rPr>
          <w:rFonts w:ascii="Calibri" w:hAnsi="Calibri" w:cs="Calibri"/>
          <w:sz w:val="22"/>
          <w:szCs w:val="22"/>
        </w:rPr>
      </w:pPr>
    </w:p>
    <w:p w14:paraId="7DA38E3D" w14:textId="2B479E92" w:rsidR="00434EB5" w:rsidRPr="002723F1" w:rsidRDefault="00434EB5" w:rsidP="00434EB5">
      <w:pPr>
        <w:rPr>
          <w:rFonts w:ascii="Calibri" w:hAnsi="Calibri" w:cs="Calibri"/>
          <w:i/>
          <w:iCs/>
          <w:sz w:val="22"/>
          <w:szCs w:val="22"/>
        </w:rPr>
      </w:pPr>
      <w:r w:rsidRPr="00E07675">
        <w:rPr>
          <w:rFonts w:ascii="Calibri" w:hAnsi="Calibri" w:cs="Calibri"/>
          <w:b/>
          <w:bCs/>
          <w:sz w:val="22"/>
          <w:szCs w:val="22"/>
        </w:rPr>
        <w:t xml:space="preserve">EQUIPMENT COSTS </w:t>
      </w:r>
      <w:r w:rsidRPr="002723F1">
        <w:rPr>
          <w:rFonts w:ascii="Calibri" w:hAnsi="Calibri" w:cs="Calibri"/>
          <w:sz w:val="22"/>
          <w:szCs w:val="22"/>
        </w:rPr>
        <w:t xml:space="preserve">                                                                  </w:t>
      </w:r>
    </w:p>
    <w:p w14:paraId="7D9359D1" w14:textId="6DCB4CA1" w:rsidR="00E07675" w:rsidRDefault="00E07675" w:rsidP="00434EB5">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694C7EE" w14:textId="25EF386A" w:rsidR="00434EB5" w:rsidRPr="002723F1" w:rsidRDefault="00434EB5" w:rsidP="00434EB5">
      <w:pPr>
        <w:rPr>
          <w:rFonts w:ascii="Calibri" w:hAnsi="Calibri" w:cs="Calibri"/>
          <w:sz w:val="22"/>
          <w:szCs w:val="22"/>
        </w:rPr>
      </w:pPr>
      <w:r w:rsidRPr="00E07675">
        <w:rPr>
          <w:rFonts w:ascii="Calibri" w:hAnsi="Calibri" w:cs="Calibri"/>
          <w:b/>
          <w:bCs/>
          <w:sz w:val="22"/>
          <w:szCs w:val="22"/>
        </w:rPr>
        <w:t xml:space="preserve">HIFU Equipment                                                                   </w:t>
      </w:r>
      <w:r w:rsidR="00E07675" w:rsidRPr="00B65104">
        <w:rPr>
          <w:rFonts w:ascii="Calibri" w:hAnsi="Calibri" w:cs="Calibri"/>
          <w:b/>
          <w:bCs/>
          <w:sz w:val="22"/>
          <w:szCs w:val="22"/>
          <w:u w:val="single"/>
        </w:rPr>
        <w:t>£</w:t>
      </w:r>
      <w:r w:rsidR="00A946E0">
        <w:rPr>
          <w:rFonts w:ascii="Calibri" w:hAnsi="Calibri" w:cs="Calibri"/>
          <w:b/>
          <w:bCs/>
          <w:sz w:val="22"/>
          <w:szCs w:val="22"/>
          <w:u w:val="single"/>
        </w:rPr>
        <w:t>500,000</w:t>
      </w:r>
    </w:p>
    <w:p w14:paraId="4C51AB6F" w14:textId="77777777" w:rsidR="00E07675" w:rsidRDefault="00E07675" w:rsidP="00434EB5">
      <w:pPr>
        <w:rPr>
          <w:rFonts w:ascii="Calibri" w:hAnsi="Calibri" w:cs="Calibri"/>
          <w:sz w:val="22"/>
          <w:szCs w:val="22"/>
        </w:rPr>
      </w:pPr>
    </w:p>
    <w:p w14:paraId="6637A615" w14:textId="77777777" w:rsidR="00531C61" w:rsidRPr="00B65104" w:rsidRDefault="00434EB5" w:rsidP="00434EB5">
      <w:pPr>
        <w:rPr>
          <w:rFonts w:ascii="Calibri" w:hAnsi="Calibri" w:cs="Calibri"/>
          <w:b/>
          <w:bCs/>
          <w:sz w:val="22"/>
          <w:szCs w:val="22"/>
        </w:rPr>
      </w:pPr>
      <w:r w:rsidRPr="00B65104">
        <w:rPr>
          <w:rFonts w:ascii="Calibri" w:hAnsi="Calibri" w:cs="Calibri"/>
          <w:b/>
          <w:bCs/>
          <w:sz w:val="22"/>
          <w:szCs w:val="22"/>
        </w:rPr>
        <w:t>NOTES</w:t>
      </w:r>
    </w:p>
    <w:p w14:paraId="14C69C0D" w14:textId="582A34C7" w:rsidR="00434EB5" w:rsidRPr="00B65104" w:rsidRDefault="00434EB5" w:rsidP="00434EB5">
      <w:pPr>
        <w:rPr>
          <w:rFonts w:ascii="Calibri" w:hAnsi="Calibri" w:cs="Calibri"/>
          <w:b/>
          <w:bCs/>
          <w:sz w:val="22"/>
          <w:szCs w:val="22"/>
        </w:rPr>
      </w:pPr>
    </w:p>
    <w:p w14:paraId="225D671B" w14:textId="70C6E051" w:rsidR="00434EB5" w:rsidRDefault="00434EB5" w:rsidP="00434EB5">
      <w:pPr>
        <w:pStyle w:val="ListParagraph"/>
        <w:numPr>
          <w:ilvl w:val="0"/>
          <w:numId w:val="4"/>
        </w:numPr>
        <w:spacing w:line="278" w:lineRule="auto"/>
        <w:rPr>
          <w:rFonts w:ascii="Calibri" w:hAnsi="Calibri" w:cs="Calibri"/>
        </w:rPr>
      </w:pPr>
      <w:r w:rsidRPr="002723F1">
        <w:rPr>
          <w:rFonts w:ascii="Calibri" w:hAnsi="Calibri" w:cs="Calibri"/>
        </w:rPr>
        <w:t xml:space="preserve">The </w:t>
      </w:r>
      <w:r w:rsidR="00A946E0">
        <w:rPr>
          <w:rFonts w:ascii="Calibri" w:hAnsi="Calibri" w:cs="Calibri"/>
        </w:rPr>
        <w:t>supplier</w:t>
      </w:r>
      <w:r w:rsidRPr="002723F1">
        <w:rPr>
          <w:rFonts w:ascii="Calibri" w:hAnsi="Calibri" w:cs="Calibri"/>
        </w:rPr>
        <w:t xml:space="preserve"> is sacrificing most of their margin leaving a small handling fee to cover installation and first year support.</w:t>
      </w:r>
    </w:p>
    <w:p w14:paraId="73F014D2" w14:textId="77777777" w:rsidR="00B65104" w:rsidRPr="002723F1" w:rsidRDefault="00B65104" w:rsidP="00B65104">
      <w:pPr>
        <w:pStyle w:val="ListParagraph"/>
        <w:spacing w:line="278" w:lineRule="auto"/>
        <w:rPr>
          <w:rFonts w:ascii="Calibri" w:hAnsi="Calibri" w:cs="Calibri"/>
        </w:rPr>
      </w:pPr>
    </w:p>
    <w:p w14:paraId="74493C1D" w14:textId="015E086B" w:rsidR="00434EB5" w:rsidRDefault="00434EB5" w:rsidP="00434EB5">
      <w:pPr>
        <w:pStyle w:val="ListParagraph"/>
        <w:numPr>
          <w:ilvl w:val="0"/>
          <w:numId w:val="4"/>
        </w:numPr>
        <w:spacing w:line="278" w:lineRule="auto"/>
        <w:rPr>
          <w:rFonts w:ascii="Calibri" w:hAnsi="Calibri" w:cs="Calibri"/>
        </w:rPr>
      </w:pPr>
      <w:r w:rsidRPr="002723F1">
        <w:rPr>
          <w:rFonts w:ascii="Calibri" w:hAnsi="Calibri" w:cs="Calibri"/>
        </w:rPr>
        <w:t>This compares with a</w:t>
      </w:r>
      <w:r w:rsidR="00E672E5">
        <w:rPr>
          <w:rFonts w:ascii="Calibri" w:hAnsi="Calibri" w:cs="Calibri"/>
        </w:rPr>
        <w:t xml:space="preserve"> normal price of £6</w:t>
      </w:r>
      <w:r w:rsidR="002A3B31">
        <w:rPr>
          <w:rFonts w:ascii="Calibri" w:hAnsi="Calibri" w:cs="Calibri"/>
        </w:rPr>
        <w:t>05</w:t>
      </w:r>
      <w:r w:rsidR="00E672E5">
        <w:rPr>
          <w:rFonts w:ascii="Calibri" w:hAnsi="Calibri" w:cs="Calibri"/>
        </w:rPr>
        <w:t xml:space="preserve">,000.  </w:t>
      </w:r>
      <w:r w:rsidRPr="002723F1">
        <w:rPr>
          <w:rFonts w:ascii="Calibri" w:hAnsi="Calibri" w:cs="Calibri"/>
        </w:rPr>
        <w:t>A huge saving.</w:t>
      </w:r>
    </w:p>
    <w:p w14:paraId="4607A358" w14:textId="77777777" w:rsidR="00B65104" w:rsidRPr="00B65104" w:rsidRDefault="00B65104" w:rsidP="00B65104">
      <w:pPr>
        <w:spacing w:line="278" w:lineRule="auto"/>
        <w:rPr>
          <w:rFonts w:ascii="Calibri" w:hAnsi="Calibri" w:cs="Calibri"/>
        </w:rPr>
      </w:pPr>
    </w:p>
    <w:p w14:paraId="2FDC57A5" w14:textId="74566FD9" w:rsidR="00B65104" w:rsidRDefault="00434EB5" w:rsidP="00706218">
      <w:pPr>
        <w:pStyle w:val="ListParagraph"/>
        <w:numPr>
          <w:ilvl w:val="0"/>
          <w:numId w:val="4"/>
        </w:numPr>
        <w:spacing w:line="278" w:lineRule="auto"/>
        <w:rPr>
          <w:rFonts w:ascii="Calibri" w:hAnsi="Calibri" w:cs="Calibri"/>
        </w:rPr>
      </w:pPr>
      <w:r w:rsidRPr="005D5E19">
        <w:rPr>
          <w:rFonts w:ascii="Calibri" w:hAnsi="Calibri" w:cs="Calibri"/>
        </w:rPr>
        <w:t xml:space="preserve">The rental agreement will be with </w:t>
      </w:r>
      <w:r w:rsidR="00B21630" w:rsidRPr="005D5E19">
        <w:rPr>
          <w:rFonts w:ascii="Calibri" w:hAnsi="Calibri" w:cs="Calibri"/>
        </w:rPr>
        <w:t xml:space="preserve">a charity owned company </w:t>
      </w:r>
      <w:r w:rsidRPr="005D5E19">
        <w:rPr>
          <w:rFonts w:ascii="Calibri" w:hAnsi="Calibri" w:cs="Calibri"/>
        </w:rPr>
        <w:t>GFCT Focal Therapy Limited</w:t>
      </w:r>
      <w:r w:rsidR="00FA74B7" w:rsidRPr="005D5E19">
        <w:rPr>
          <w:rFonts w:ascii="Calibri" w:hAnsi="Calibri" w:cs="Calibri"/>
        </w:rPr>
        <w:t xml:space="preserve">. </w:t>
      </w:r>
      <w:r w:rsidRPr="005D5E19">
        <w:rPr>
          <w:rFonts w:ascii="Calibri" w:hAnsi="Calibri" w:cs="Calibri"/>
        </w:rPr>
        <w:t xml:space="preserve">The service </w:t>
      </w:r>
      <w:r w:rsidR="0034699A">
        <w:rPr>
          <w:rFonts w:ascii="Calibri" w:hAnsi="Calibri" w:cs="Calibri"/>
        </w:rPr>
        <w:t xml:space="preserve">and consumables </w:t>
      </w:r>
      <w:r w:rsidRPr="005D5E19">
        <w:rPr>
          <w:rFonts w:ascii="Calibri" w:hAnsi="Calibri" w:cs="Calibri"/>
        </w:rPr>
        <w:t>agreement</w:t>
      </w:r>
      <w:r w:rsidR="0034699A">
        <w:rPr>
          <w:rFonts w:ascii="Calibri" w:hAnsi="Calibri" w:cs="Calibri"/>
        </w:rPr>
        <w:t>s</w:t>
      </w:r>
      <w:r w:rsidRPr="005D5E19">
        <w:rPr>
          <w:rFonts w:ascii="Calibri" w:hAnsi="Calibri" w:cs="Calibri"/>
        </w:rPr>
        <w:t xml:space="preserve"> will be with the manufacture</w:t>
      </w:r>
      <w:r w:rsidR="00FA74B7" w:rsidRPr="005D5E19">
        <w:rPr>
          <w:rFonts w:ascii="Calibri" w:hAnsi="Calibri" w:cs="Calibri"/>
        </w:rPr>
        <w:t xml:space="preserve">. </w:t>
      </w:r>
      <w:r w:rsidRPr="005D5E19">
        <w:rPr>
          <w:rFonts w:ascii="Calibri" w:hAnsi="Calibri" w:cs="Calibri"/>
        </w:rPr>
        <w:t>Machine rental will be at the rate of £</w:t>
      </w:r>
      <w:r w:rsidR="00E757CE">
        <w:rPr>
          <w:rFonts w:ascii="Calibri" w:hAnsi="Calibri" w:cs="Calibri"/>
        </w:rPr>
        <w:t xml:space="preserve">50,000 per annum for year </w:t>
      </w:r>
      <w:r w:rsidR="00C56000">
        <w:rPr>
          <w:rFonts w:ascii="Calibri" w:hAnsi="Calibri" w:cs="Calibri"/>
        </w:rPr>
        <w:t>1 and £100,000 per annum for years 2 to 5, pl</w:t>
      </w:r>
      <w:r w:rsidR="00B21630" w:rsidRPr="005D5E19">
        <w:rPr>
          <w:rFonts w:ascii="Calibri" w:hAnsi="Calibri" w:cs="Calibri"/>
        </w:rPr>
        <w:t xml:space="preserve">us </w:t>
      </w:r>
      <w:r w:rsidR="00BD1D5F" w:rsidRPr="005D5E19">
        <w:rPr>
          <w:rFonts w:ascii="Calibri" w:hAnsi="Calibri" w:cs="Calibri"/>
        </w:rPr>
        <w:t xml:space="preserve">VAT. </w:t>
      </w:r>
      <w:r w:rsidRPr="005D5E19">
        <w:rPr>
          <w:rFonts w:ascii="Calibri" w:hAnsi="Calibri" w:cs="Calibri"/>
        </w:rPr>
        <w:t xml:space="preserve">Rental invoices will be raised </w:t>
      </w:r>
      <w:r w:rsidR="00A8448A">
        <w:rPr>
          <w:rFonts w:ascii="Calibri" w:hAnsi="Calibri" w:cs="Calibri"/>
        </w:rPr>
        <w:t xml:space="preserve">and paid </w:t>
      </w:r>
      <w:r w:rsidRPr="005D5E19">
        <w:rPr>
          <w:rFonts w:ascii="Calibri" w:hAnsi="Calibri" w:cs="Calibri"/>
        </w:rPr>
        <w:t>monthly</w:t>
      </w:r>
      <w:r w:rsidR="00BD1D5F" w:rsidRPr="005D5E19">
        <w:rPr>
          <w:rFonts w:ascii="Calibri" w:hAnsi="Calibri" w:cs="Calibri"/>
        </w:rPr>
        <w:t xml:space="preserve">. </w:t>
      </w:r>
      <w:r w:rsidR="00AB2691">
        <w:rPr>
          <w:rFonts w:ascii="Calibri" w:hAnsi="Calibri" w:cs="Calibri"/>
        </w:rPr>
        <w:t>There will be an initial</w:t>
      </w:r>
      <w:r w:rsidR="00DB10B5">
        <w:rPr>
          <w:rFonts w:ascii="Calibri" w:hAnsi="Calibri" w:cs="Calibri"/>
        </w:rPr>
        <w:t xml:space="preserve"> </w:t>
      </w:r>
      <w:r w:rsidR="002C7873">
        <w:rPr>
          <w:rFonts w:ascii="Calibri" w:hAnsi="Calibri" w:cs="Calibri"/>
        </w:rPr>
        <w:t>5-year</w:t>
      </w:r>
      <w:r w:rsidR="0028673B">
        <w:rPr>
          <w:rFonts w:ascii="Calibri" w:hAnsi="Calibri" w:cs="Calibri"/>
        </w:rPr>
        <w:t xml:space="preserve"> rental</w:t>
      </w:r>
      <w:r w:rsidR="00DB10B5">
        <w:rPr>
          <w:rFonts w:ascii="Calibri" w:hAnsi="Calibri" w:cs="Calibri"/>
        </w:rPr>
        <w:t xml:space="preserve"> </w:t>
      </w:r>
      <w:r w:rsidR="00AB2691">
        <w:rPr>
          <w:rFonts w:ascii="Calibri" w:hAnsi="Calibri" w:cs="Calibri"/>
        </w:rPr>
        <w:t>agreement</w:t>
      </w:r>
      <w:r w:rsidR="002255C4">
        <w:rPr>
          <w:rFonts w:ascii="Calibri" w:hAnsi="Calibri" w:cs="Calibri"/>
        </w:rPr>
        <w:t xml:space="preserve">. </w:t>
      </w:r>
      <w:r w:rsidR="00C32C22">
        <w:rPr>
          <w:rFonts w:ascii="Calibri" w:hAnsi="Calibri" w:cs="Calibri"/>
        </w:rPr>
        <w:t xml:space="preserve">The hospital will </w:t>
      </w:r>
      <w:r w:rsidR="002B2FB9">
        <w:rPr>
          <w:rFonts w:ascii="Calibri" w:hAnsi="Calibri" w:cs="Calibri"/>
        </w:rPr>
        <w:t>then have the option to buy the equipment for £</w:t>
      </w:r>
      <w:r w:rsidR="003B0F8C">
        <w:rPr>
          <w:rFonts w:ascii="Calibri" w:hAnsi="Calibri" w:cs="Calibri"/>
        </w:rPr>
        <w:t>150,000</w:t>
      </w:r>
      <w:r w:rsidR="002B2FB9">
        <w:rPr>
          <w:rFonts w:ascii="Calibri" w:hAnsi="Calibri" w:cs="Calibri"/>
        </w:rPr>
        <w:t xml:space="preserve"> plus VAT or </w:t>
      </w:r>
      <w:r w:rsidR="00BD1D5F">
        <w:rPr>
          <w:rFonts w:ascii="Calibri" w:hAnsi="Calibri" w:cs="Calibri"/>
        </w:rPr>
        <w:t>continue</w:t>
      </w:r>
      <w:r w:rsidR="002B2FB9">
        <w:rPr>
          <w:rFonts w:ascii="Calibri" w:hAnsi="Calibri" w:cs="Calibri"/>
        </w:rPr>
        <w:t xml:space="preserve"> renting at the rate of £75</w:t>
      </w:r>
      <w:r w:rsidR="00C32C22">
        <w:rPr>
          <w:rFonts w:ascii="Calibri" w:hAnsi="Calibri" w:cs="Calibri"/>
        </w:rPr>
        <w:t>,00</w:t>
      </w:r>
      <w:r w:rsidR="002B2FB9">
        <w:rPr>
          <w:rFonts w:ascii="Calibri" w:hAnsi="Calibri" w:cs="Calibri"/>
        </w:rPr>
        <w:t xml:space="preserve">0 </w:t>
      </w:r>
      <w:r w:rsidR="00C32C22">
        <w:rPr>
          <w:rFonts w:ascii="Calibri" w:hAnsi="Calibri" w:cs="Calibri"/>
        </w:rPr>
        <w:t>a year</w:t>
      </w:r>
      <w:r w:rsidR="002B2FB9">
        <w:rPr>
          <w:rFonts w:ascii="Calibri" w:hAnsi="Calibri" w:cs="Calibri"/>
        </w:rPr>
        <w:t xml:space="preserve"> plus VAT</w:t>
      </w:r>
      <w:r w:rsidR="00282230">
        <w:rPr>
          <w:rFonts w:ascii="Calibri" w:hAnsi="Calibri" w:cs="Calibri"/>
        </w:rPr>
        <w:t>, for three more years, after which they will be given the equipment</w:t>
      </w:r>
      <w:r w:rsidR="002B2FB9">
        <w:rPr>
          <w:rFonts w:ascii="Calibri" w:hAnsi="Calibri" w:cs="Calibri"/>
        </w:rPr>
        <w:t xml:space="preserve">. </w:t>
      </w:r>
    </w:p>
    <w:p w14:paraId="388E9395" w14:textId="77777777" w:rsidR="00DB10B5" w:rsidRPr="005D5E19" w:rsidRDefault="00DB10B5" w:rsidP="00DB10B5">
      <w:pPr>
        <w:pStyle w:val="ListParagraph"/>
        <w:spacing w:line="278" w:lineRule="auto"/>
        <w:rPr>
          <w:rFonts w:ascii="Calibri" w:hAnsi="Calibri" w:cs="Calibri"/>
        </w:rPr>
      </w:pPr>
    </w:p>
    <w:p w14:paraId="266C172C" w14:textId="66A51E0A" w:rsidR="00434EB5" w:rsidRDefault="00434EB5" w:rsidP="00434EB5">
      <w:pPr>
        <w:pStyle w:val="ListParagraph"/>
        <w:numPr>
          <w:ilvl w:val="0"/>
          <w:numId w:val="4"/>
        </w:numPr>
        <w:spacing w:line="278" w:lineRule="auto"/>
        <w:rPr>
          <w:rFonts w:ascii="Calibri" w:hAnsi="Calibri" w:cs="Calibri"/>
        </w:rPr>
      </w:pPr>
      <w:r w:rsidRPr="002723F1">
        <w:rPr>
          <w:rFonts w:ascii="Calibri" w:hAnsi="Calibri" w:cs="Calibri"/>
        </w:rPr>
        <w:t xml:space="preserve">The returns and costs geared to the number of tests </w:t>
      </w:r>
      <w:r w:rsidR="00FA74B7" w:rsidRPr="002723F1">
        <w:rPr>
          <w:rFonts w:ascii="Calibri" w:hAnsi="Calibri" w:cs="Calibri"/>
        </w:rPr>
        <w:t>conducted</w:t>
      </w:r>
      <w:r w:rsidRPr="002723F1">
        <w:rPr>
          <w:rFonts w:ascii="Calibri" w:hAnsi="Calibri" w:cs="Calibri"/>
        </w:rPr>
        <w:t xml:space="preserve"> per annum are as follows.</w:t>
      </w:r>
    </w:p>
    <w:tbl>
      <w:tblPr>
        <w:tblStyle w:val="TableGrid"/>
        <w:tblW w:w="4994" w:type="pct"/>
        <w:tblLook w:val="04A0" w:firstRow="1" w:lastRow="0" w:firstColumn="1" w:lastColumn="0" w:noHBand="0" w:noVBand="1"/>
      </w:tblPr>
      <w:tblGrid>
        <w:gridCol w:w="2971"/>
        <w:gridCol w:w="2012"/>
        <w:gridCol w:w="1958"/>
        <w:gridCol w:w="2064"/>
      </w:tblGrid>
      <w:tr w:rsidR="001B4855" w14:paraId="6CF60829" w14:textId="77777777" w:rsidTr="00340F98">
        <w:tc>
          <w:tcPr>
            <w:tcW w:w="1650" w:type="pct"/>
          </w:tcPr>
          <w:p w14:paraId="2AEDF427" w14:textId="77777777" w:rsidR="001B4855" w:rsidRDefault="001B4855" w:rsidP="00F85C0E">
            <w:pPr>
              <w:rPr>
                <w:rFonts w:ascii="Calibri" w:hAnsi="Calibri" w:cs="Calibri"/>
                <w:b/>
                <w:bCs/>
                <w:sz w:val="22"/>
                <w:szCs w:val="22"/>
              </w:rPr>
            </w:pPr>
          </w:p>
        </w:tc>
        <w:tc>
          <w:tcPr>
            <w:tcW w:w="3350" w:type="pct"/>
            <w:gridSpan w:val="3"/>
          </w:tcPr>
          <w:p w14:paraId="7C94A11E" w14:textId="24A25F84" w:rsidR="001B4855" w:rsidRDefault="00F054AB" w:rsidP="00F054AB">
            <w:pPr>
              <w:jc w:val="center"/>
              <w:rPr>
                <w:rFonts w:ascii="Calibri" w:hAnsi="Calibri" w:cs="Calibri"/>
                <w:b/>
                <w:bCs/>
                <w:sz w:val="22"/>
                <w:szCs w:val="22"/>
              </w:rPr>
            </w:pPr>
            <w:r>
              <w:rPr>
                <w:rFonts w:ascii="Calibri" w:hAnsi="Calibri" w:cs="Calibri"/>
                <w:b/>
                <w:bCs/>
                <w:sz w:val="22"/>
                <w:szCs w:val="22"/>
              </w:rPr>
              <w:t>NUMBER OF TREATMENTS PER ANNUM</w:t>
            </w:r>
          </w:p>
        </w:tc>
      </w:tr>
      <w:tr w:rsidR="00E3523F" w14:paraId="618794F4" w14:textId="77777777" w:rsidTr="0015140E">
        <w:tc>
          <w:tcPr>
            <w:tcW w:w="1650" w:type="pct"/>
          </w:tcPr>
          <w:p w14:paraId="35A40E4C" w14:textId="77777777" w:rsidR="00E3523F" w:rsidRDefault="00E3523F" w:rsidP="00E3523F">
            <w:pPr>
              <w:rPr>
                <w:rFonts w:ascii="Calibri" w:hAnsi="Calibri" w:cs="Calibri"/>
                <w:b/>
                <w:bCs/>
                <w:sz w:val="22"/>
                <w:szCs w:val="22"/>
              </w:rPr>
            </w:pPr>
          </w:p>
        </w:tc>
        <w:tc>
          <w:tcPr>
            <w:tcW w:w="1117" w:type="pct"/>
          </w:tcPr>
          <w:p w14:paraId="71C547C2" w14:textId="40A236F4" w:rsidR="00E3523F" w:rsidRPr="00822B29" w:rsidRDefault="00F011EB" w:rsidP="00E3523F">
            <w:pPr>
              <w:jc w:val="center"/>
              <w:rPr>
                <w:rFonts w:ascii="Calibri" w:hAnsi="Calibri" w:cs="Calibri"/>
                <w:b/>
                <w:bCs/>
                <w:sz w:val="22"/>
                <w:szCs w:val="22"/>
              </w:rPr>
            </w:pPr>
            <w:r>
              <w:rPr>
                <w:rFonts w:ascii="Calibri" w:hAnsi="Calibri" w:cs="Calibri"/>
                <w:sz w:val="22"/>
                <w:szCs w:val="22"/>
              </w:rPr>
              <w:t xml:space="preserve">Year One - </w:t>
            </w:r>
            <w:r w:rsidR="00DA1699">
              <w:rPr>
                <w:rFonts w:ascii="Calibri" w:hAnsi="Calibri" w:cs="Calibri"/>
                <w:sz w:val="22"/>
                <w:szCs w:val="22"/>
              </w:rPr>
              <w:t>50</w:t>
            </w:r>
          </w:p>
        </w:tc>
        <w:tc>
          <w:tcPr>
            <w:tcW w:w="1087" w:type="pct"/>
          </w:tcPr>
          <w:p w14:paraId="385EC8A0" w14:textId="2F92985C" w:rsidR="00E3523F" w:rsidRPr="00822B29" w:rsidRDefault="00F011EB" w:rsidP="00E3523F">
            <w:pPr>
              <w:jc w:val="center"/>
              <w:rPr>
                <w:rFonts w:ascii="Calibri" w:hAnsi="Calibri" w:cs="Calibri"/>
                <w:b/>
                <w:bCs/>
                <w:sz w:val="22"/>
                <w:szCs w:val="22"/>
              </w:rPr>
            </w:pPr>
            <w:r>
              <w:rPr>
                <w:rFonts w:ascii="Calibri" w:hAnsi="Calibri" w:cs="Calibri"/>
                <w:sz w:val="22"/>
                <w:szCs w:val="22"/>
              </w:rPr>
              <w:t xml:space="preserve">Ongoing </w:t>
            </w:r>
            <w:r w:rsidR="00427811">
              <w:rPr>
                <w:rFonts w:ascii="Calibri" w:hAnsi="Calibri" w:cs="Calibri"/>
                <w:sz w:val="22"/>
                <w:szCs w:val="22"/>
              </w:rPr>
              <w:t xml:space="preserve">Years - </w:t>
            </w:r>
            <w:r w:rsidR="00DA1699" w:rsidRPr="00822B29">
              <w:rPr>
                <w:rFonts w:ascii="Calibri" w:hAnsi="Calibri" w:cs="Calibri"/>
                <w:sz w:val="22"/>
                <w:szCs w:val="22"/>
              </w:rPr>
              <w:t>100</w:t>
            </w:r>
          </w:p>
        </w:tc>
        <w:tc>
          <w:tcPr>
            <w:tcW w:w="1146" w:type="pct"/>
          </w:tcPr>
          <w:p w14:paraId="27437260" w14:textId="61E6701C" w:rsidR="00E3523F" w:rsidRPr="00702DA9" w:rsidRDefault="00427811" w:rsidP="00E3523F">
            <w:pPr>
              <w:jc w:val="center"/>
              <w:rPr>
                <w:rFonts w:ascii="Calibri" w:hAnsi="Calibri" w:cs="Calibri"/>
                <w:sz w:val="22"/>
                <w:szCs w:val="22"/>
              </w:rPr>
            </w:pPr>
            <w:r w:rsidRPr="00702DA9">
              <w:rPr>
                <w:rFonts w:ascii="Calibri" w:hAnsi="Calibri" w:cs="Calibri"/>
                <w:sz w:val="22"/>
                <w:szCs w:val="22"/>
              </w:rPr>
              <w:t xml:space="preserve">Ongoing Years - </w:t>
            </w:r>
            <w:r w:rsidR="00E3523F" w:rsidRPr="00702DA9">
              <w:rPr>
                <w:rFonts w:ascii="Calibri" w:hAnsi="Calibri" w:cs="Calibri"/>
                <w:sz w:val="22"/>
                <w:szCs w:val="22"/>
              </w:rPr>
              <w:t>200</w:t>
            </w:r>
          </w:p>
        </w:tc>
      </w:tr>
      <w:tr w:rsidR="00E3523F" w14:paraId="07189F78" w14:textId="77777777" w:rsidTr="0015140E">
        <w:tc>
          <w:tcPr>
            <w:tcW w:w="1650" w:type="pct"/>
          </w:tcPr>
          <w:p w14:paraId="296A4ACE" w14:textId="683C92A2" w:rsidR="00E3523F" w:rsidRDefault="00E3523F" w:rsidP="00E3523F">
            <w:pPr>
              <w:rPr>
                <w:rFonts w:ascii="Calibri" w:hAnsi="Calibri" w:cs="Calibri"/>
                <w:b/>
                <w:bCs/>
                <w:sz w:val="22"/>
                <w:szCs w:val="22"/>
              </w:rPr>
            </w:pPr>
            <w:r>
              <w:rPr>
                <w:rFonts w:ascii="Calibri" w:hAnsi="Calibri" w:cs="Calibri"/>
                <w:b/>
                <w:bCs/>
                <w:sz w:val="22"/>
                <w:szCs w:val="22"/>
              </w:rPr>
              <w:t>AVERAGE REVENUE PER CASE</w:t>
            </w:r>
          </w:p>
        </w:tc>
        <w:tc>
          <w:tcPr>
            <w:tcW w:w="1117" w:type="pct"/>
          </w:tcPr>
          <w:p w14:paraId="6DC48578" w14:textId="34F7C393" w:rsidR="00E3523F" w:rsidRPr="006D7EBA" w:rsidRDefault="006D7EBA" w:rsidP="00E3523F">
            <w:pPr>
              <w:jc w:val="center"/>
              <w:rPr>
                <w:rFonts w:ascii="Calibri" w:hAnsi="Calibri" w:cs="Calibri"/>
                <w:sz w:val="22"/>
                <w:szCs w:val="22"/>
              </w:rPr>
            </w:pPr>
            <w:r w:rsidRPr="006D7EBA">
              <w:rPr>
                <w:rFonts w:ascii="Calibri" w:hAnsi="Calibri" w:cs="Calibri"/>
                <w:sz w:val="22"/>
                <w:szCs w:val="22"/>
              </w:rPr>
              <w:t>£5,377</w:t>
            </w:r>
          </w:p>
        </w:tc>
        <w:tc>
          <w:tcPr>
            <w:tcW w:w="1087" w:type="pct"/>
          </w:tcPr>
          <w:p w14:paraId="2741351F" w14:textId="284B8982" w:rsidR="00E3523F" w:rsidRPr="00822B29" w:rsidRDefault="00DA1699" w:rsidP="00E3523F">
            <w:pPr>
              <w:jc w:val="center"/>
              <w:rPr>
                <w:rFonts w:ascii="Calibri" w:hAnsi="Calibri" w:cs="Calibri"/>
                <w:b/>
                <w:bCs/>
                <w:sz w:val="22"/>
                <w:szCs w:val="22"/>
              </w:rPr>
            </w:pPr>
            <w:r w:rsidRPr="00822B29">
              <w:rPr>
                <w:rFonts w:ascii="Calibri" w:hAnsi="Calibri" w:cs="Calibri"/>
                <w:sz w:val="22"/>
                <w:szCs w:val="22"/>
              </w:rPr>
              <w:t>£5,377</w:t>
            </w:r>
          </w:p>
        </w:tc>
        <w:tc>
          <w:tcPr>
            <w:tcW w:w="1146" w:type="pct"/>
          </w:tcPr>
          <w:p w14:paraId="0B9FA8BA" w14:textId="2691CC5B" w:rsidR="00E3523F" w:rsidRDefault="00E3523F" w:rsidP="00E3523F">
            <w:pPr>
              <w:jc w:val="center"/>
              <w:rPr>
                <w:rFonts w:ascii="Calibri" w:hAnsi="Calibri" w:cs="Calibri"/>
                <w:b/>
                <w:bCs/>
                <w:sz w:val="22"/>
                <w:szCs w:val="22"/>
              </w:rPr>
            </w:pPr>
            <w:r>
              <w:rPr>
                <w:rFonts w:ascii="Calibri" w:hAnsi="Calibri" w:cs="Calibri"/>
                <w:sz w:val="22"/>
                <w:szCs w:val="22"/>
              </w:rPr>
              <w:t>£</w:t>
            </w:r>
            <w:r w:rsidRPr="002723F1">
              <w:rPr>
                <w:rFonts w:ascii="Calibri" w:hAnsi="Calibri" w:cs="Calibri"/>
                <w:sz w:val="22"/>
                <w:szCs w:val="22"/>
              </w:rPr>
              <w:t>5,377</w:t>
            </w:r>
          </w:p>
        </w:tc>
      </w:tr>
      <w:tr w:rsidR="00E3523F" w14:paraId="1EB9BA99" w14:textId="77777777" w:rsidTr="006D7EBA">
        <w:trPr>
          <w:trHeight w:val="415"/>
        </w:trPr>
        <w:tc>
          <w:tcPr>
            <w:tcW w:w="1650" w:type="pct"/>
          </w:tcPr>
          <w:p w14:paraId="56AA8566" w14:textId="408C6735" w:rsidR="00E3523F" w:rsidRDefault="00E3523F" w:rsidP="00E3523F">
            <w:pPr>
              <w:rPr>
                <w:rFonts w:ascii="Calibri" w:hAnsi="Calibri" w:cs="Calibri"/>
                <w:b/>
                <w:bCs/>
                <w:sz w:val="22"/>
                <w:szCs w:val="22"/>
              </w:rPr>
            </w:pPr>
            <w:r>
              <w:rPr>
                <w:rFonts w:ascii="Calibri" w:hAnsi="Calibri" w:cs="Calibri"/>
                <w:b/>
                <w:bCs/>
                <w:sz w:val="22"/>
                <w:szCs w:val="22"/>
              </w:rPr>
              <w:t>COSTS PER CASE</w:t>
            </w:r>
          </w:p>
        </w:tc>
        <w:tc>
          <w:tcPr>
            <w:tcW w:w="1117" w:type="pct"/>
          </w:tcPr>
          <w:p w14:paraId="1AAFB59B" w14:textId="6E6AE7C7" w:rsidR="00E3523F" w:rsidRPr="006D7EBA" w:rsidRDefault="00E3523F" w:rsidP="00E3523F">
            <w:pPr>
              <w:jc w:val="right"/>
              <w:rPr>
                <w:rFonts w:ascii="Calibri" w:hAnsi="Calibri" w:cs="Calibri"/>
                <w:b/>
                <w:bCs/>
                <w:sz w:val="22"/>
                <w:szCs w:val="22"/>
              </w:rPr>
            </w:pPr>
            <w:r w:rsidRPr="006D7EBA">
              <w:rPr>
                <w:rFonts w:ascii="Calibri" w:hAnsi="Calibri" w:cs="Calibri"/>
                <w:b/>
                <w:bCs/>
                <w:sz w:val="22"/>
                <w:szCs w:val="22"/>
              </w:rPr>
              <w:t>£</w:t>
            </w:r>
          </w:p>
        </w:tc>
        <w:tc>
          <w:tcPr>
            <w:tcW w:w="1087" w:type="pct"/>
          </w:tcPr>
          <w:p w14:paraId="61D6CAF5" w14:textId="3CCB51B8" w:rsidR="00E3523F" w:rsidRPr="00822B29" w:rsidRDefault="00DA1699" w:rsidP="00E3523F">
            <w:pPr>
              <w:jc w:val="right"/>
              <w:rPr>
                <w:rFonts w:ascii="Calibri" w:hAnsi="Calibri" w:cs="Calibri"/>
                <w:b/>
                <w:bCs/>
                <w:sz w:val="22"/>
                <w:szCs w:val="22"/>
              </w:rPr>
            </w:pPr>
            <w:r>
              <w:rPr>
                <w:rFonts w:ascii="Calibri" w:hAnsi="Calibri" w:cs="Calibri"/>
                <w:b/>
                <w:bCs/>
                <w:sz w:val="22"/>
                <w:szCs w:val="22"/>
              </w:rPr>
              <w:t>£</w:t>
            </w:r>
          </w:p>
        </w:tc>
        <w:tc>
          <w:tcPr>
            <w:tcW w:w="1146" w:type="pct"/>
          </w:tcPr>
          <w:p w14:paraId="605E5A44" w14:textId="1BB85582" w:rsidR="00E3523F" w:rsidRDefault="00E3523F" w:rsidP="00E3523F">
            <w:pPr>
              <w:jc w:val="right"/>
              <w:rPr>
                <w:rFonts w:ascii="Calibri" w:hAnsi="Calibri" w:cs="Calibri"/>
                <w:b/>
                <w:bCs/>
                <w:sz w:val="22"/>
                <w:szCs w:val="22"/>
              </w:rPr>
            </w:pPr>
            <w:r>
              <w:rPr>
                <w:rFonts w:ascii="Calibri" w:hAnsi="Calibri" w:cs="Calibri"/>
                <w:b/>
                <w:bCs/>
                <w:sz w:val="22"/>
                <w:szCs w:val="22"/>
              </w:rPr>
              <w:t>£</w:t>
            </w:r>
          </w:p>
        </w:tc>
      </w:tr>
      <w:tr w:rsidR="007626F3" w14:paraId="4CDCCA1F" w14:textId="77777777" w:rsidTr="0015140E">
        <w:tc>
          <w:tcPr>
            <w:tcW w:w="1650" w:type="pct"/>
          </w:tcPr>
          <w:p w14:paraId="56383588" w14:textId="2E487D20" w:rsidR="007626F3" w:rsidRPr="00340F98" w:rsidRDefault="007626F3" w:rsidP="007626F3">
            <w:pPr>
              <w:rPr>
                <w:rFonts w:ascii="Calibri" w:hAnsi="Calibri" w:cs="Calibri"/>
                <w:sz w:val="22"/>
                <w:szCs w:val="22"/>
              </w:rPr>
            </w:pPr>
            <w:r>
              <w:rPr>
                <w:rFonts w:ascii="Calibri" w:hAnsi="Calibri" w:cs="Calibri"/>
                <w:sz w:val="22"/>
                <w:szCs w:val="22"/>
              </w:rPr>
              <w:t>Theatre</w:t>
            </w:r>
          </w:p>
        </w:tc>
        <w:tc>
          <w:tcPr>
            <w:tcW w:w="1117" w:type="pct"/>
          </w:tcPr>
          <w:p w14:paraId="456A73DA" w14:textId="590557EF" w:rsidR="007626F3" w:rsidRPr="00822B29" w:rsidRDefault="00367F78" w:rsidP="007626F3">
            <w:pPr>
              <w:jc w:val="right"/>
              <w:rPr>
                <w:rFonts w:ascii="Calibri" w:hAnsi="Calibri" w:cs="Calibri"/>
                <w:sz w:val="22"/>
                <w:szCs w:val="22"/>
              </w:rPr>
            </w:pPr>
            <w:r>
              <w:rPr>
                <w:rFonts w:ascii="Calibri" w:hAnsi="Calibri" w:cs="Calibri"/>
                <w:sz w:val="22"/>
                <w:szCs w:val="22"/>
              </w:rPr>
              <w:t>1,141</w:t>
            </w:r>
          </w:p>
        </w:tc>
        <w:tc>
          <w:tcPr>
            <w:tcW w:w="1087" w:type="pct"/>
          </w:tcPr>
          <w:p w14:paraId="1FEB5D0C" w14:textId="4D0BC95D" w:rsidR="007626F3" w:rsidRPr="00822B29" w:rsidRDefault="00367F78" w:rsidP="007626F3">
            <w:pPr>
              <w:jc w:val="right"/>
              <w:rPr>
                <w:rFonts w:ascii="Calibri" w:hAnsi="Calibri" w:cs="Calibri"/>
                <w:sz w:val="22"/>
                <w:szCs w:val="22"/>
              </w:rPr>
            </w:pPr>
            <w:r>
              <w:rPr>
                <w:rFonts w:ascii="Calibri" w:hAnsi="Calibri" w:cs="Calibri"/>
                <w:sz w:val="22"/>
                <w:szCs w:val="22"/>
              </w:rPr>
              <w:t>1,141</w:t>
            </w:r>
          </w:p>
        </w:tc>
        <w:tc>
          <w:tcPr>
            <w:tcW w:w="1146" w:type="pct"/>
          </w:tcPr>
          <w:p w14:paraId="235D4996" w14:textId="48CB9ACC" w:rsidR="007626F3" w:rsidRPr="000B49C9" w:rsidRDefault="00367F78" w:rsidP="007626F3">
            <w:pPr>
              <w:jc w:val="right"/>
              <w:rPr>
                <w:rFonts w:ascii="Calibri" w:hAnsi="Calibri" w:cs="Calibri"/>
                <w:sz w:val="22"/>
                <w:szCs w:val="22"/>
              </w:rPr>
            </w:pPr>
            <w:r>
              <w:rPr>
                <w:rFonts w:ascii="Calibri" w:hAnsi="Calibri" w:cs="Calibri"/>
                <w:sz w:val="22"/>
                <w:szCs w:val="22"/>
              </w:rPr>
              <w:t>1,141</w:t>
            </w:r>
          </w:p>
        </w:tc>
      </w:tr>
      <w:tr w:rsidR="007626F3" w14:paraId="191A86B1" w14:textId="77777777" w:rsidTr="0015140E">
        <w:tc>
          <w:tcPr>
            <w:tcW w:w="1650" w:type="pct"/>
          </w:tcPr>
          <w:p w14:paraId="4D42DDCE" w14:textId="6CDAEBF5" w:rsidR="007626F3" w:rsidRPr="000B49C9" w:rsidRDefault="007626F3" w:rsidP="007626F3">
            <w:pPr>
              <w:rPr>
                <w:rFonts w:ascii="Calibri" w:hAnsi="Calibri" w:cs="Calibri"/>
                <w:sz w:val="22"/>
                <w:szCs w:val="22"/>
              </w:rPr>
            </w:pPr>
            <w:r w:rsidRPr="000B49C9">
              <w:rPr>
                <w:rFonts w:ascii="Calibri" w:hAnsi="Calibri" w:cs="Calibri"/>
                <w:sz w:val="22"/>
                <w:szCs w:val="22"/>
              </w:rPr>
              <w:t>Consultant</w:t>
            </w:r>
          </w:p>
        </w:tc>
        <w:tc>
          <w:tcPr>
            <w:tcW w:w="1117" w:type="pct"/>
          </w:tcPr>
          <w:p w14:paraId="1943F9CF" w14:textId="161F55DE" w:rsidR="007626F3" w:rsidRPr="00822B29" w:rsidRDefault="00367F78" w:rsidP="007626F3">
            <w:pPr>
              <w:jc w:val="right"/>
              <w:rPr>
                <w:rFonts w:ascii="Calibri" w:hAnsi="Calibri" w:cs="Calibri"/>
                <w:sz w:val="22"/>
                <w:szCs w:val="22"/>
              </w:rPr>
            </w:pPr>
            <w:r>
              <w:rPr>
                <w:rFonts w:ascii="Calibri" w:hAnsi="Calibri" w:cs="Calibri"/>
                <w:sz w:val="22"/>
                <w:szCs w:val="22"/>
              </w:rPr>
              <w:t>114</w:t>
            </w:r>
          </w:p>
        </w:tc>
        <w:tc>
          <w:tcPr>
            <w:tcW w:w="1087" w:type="pct"/>
          </w:tcPr>
          <w:p w14:paraId="5FD34919" w14:textId="434710E4" w:rsidR="007626F3" w:rsidRPr="00822B29" w:rsidRDefault="00367F78" w:rsidP="007626F3">
            <w:pPr>
              <w:jc w:val="right"/>
              <w:rPr>
                <w:rFonts w:ascii="Calibri" w:hAnsi="Calibri" w:cs="Calibri"/>
                <w:sz w:val="22"/>
                <w:szCs w:val="22"/>
              </w:rPr>
            </w:pPr>
            <w:r>
              <w:rPr>
                <w:rFonts w:ascii="Calibri" w:hAnsi="Calibri" w:cs="Calibri"/>
                <w:sz w:val="22"/>
                <w:szCs w:val="22"/>
              </w:rPr>
              <w:t>114</w:t>
            </w:r>
          </w:p>
        </w:tc>
        <w:tc>
          <w:tcPr>
            <w:tcW w:w="1146" w:type="pct"/>
          </w:tcPr>
          <w:p w14:paraId="47A82830" w14:textId="0C6BFC87" w:rsidR="007626F3" w:rsidRPr="000B49C9" w:rsidRDefault="00367F78" w:rsidP="007626F3">
            <w:pPr>
              <w:jc w:val="right"/>
              <w:rPr>
                <w:rFonts w:ascii="Calibri" w:hAnsi="Calibri" w:cs="Calibri"/>
                <w:sz w:val="22"/>
                <w:szCs w:val="22"/>
              </w:rPr>
            </w:pPr>
            <w:r>
              <w:rPr>
                <w:rFonts w:ascii="Calibri" w:hAnsi="Calibri" w:cs="Calibri"/>
                <w:sz w:val="22"/>
                <w:szCs w:val="22"/>
              </w:rPr>
              <w:t>114</w:t>
            </w:r>
          </w:p>
        </w:tc>
      </w:tr>
      <w:tr w:rsidR="007626F3" w14:paraId="3D448974" w14:textId="77777777" w:rsidTr="0015140E">
        <w:tc>
          <w:tcPr>
            <w:tcW w:w="1650" w:type="pct"/>
          </w:tcPr>
          <w:p w14:paraId="29ADF231" w14:textId="07A0AAA9" w:rsidR="007626F3" w:rsidRPr="000B49C9" w:rsidRDefault="007626F3" w:rsidP="007626F3">
            <w:pPr>
              <w:rPr>
                <w:rFonts w:ascii="Calibri" w:hAnsi="Calibri" w:cs="Calibri"/>
                <w:sz w:val="22"/>
                <w:szCs w:val="22"/>
              </w:rPr>
            </w:pPr>
            <w:r w:rsidRPr="000B49C9">
              <w:rPr>
                <w:rFonts w:ascii="Calibri" w:hAnsi="Calibri" w:cs="Calibri"/>
                <w:sz w:val="22"/>
                <w:szCs w:val="22"/>
              </w:rPr>
              <w:t>Surgical Assistant</w:t>
            </w:r>
          </w:p>
        </w:tc>
        <w:tc>
          <w:tcPr>
            <w:tcW w:w="1117" w:type="pct"/>
          </w:tcPr>
          <w:p w14:paraId="11311CFE" w14:textId="59903759" w:rsidR="007626F3" w:rsidRPr="00822B29" w:rsidRDefault="00367F78" w:rsidP="007626F3">
            <w:pPr>
              <w:jc w:val="right"/>
              <w:rPr>
                <w:rFonts w:ascii="Calibri" w:hAnsi="Calibri" w:cs="Calibri"/>
                <w:sz w:val="22"/>
                <w:szCs w:val="22"/>
              </w:rPr>
            </w:pPr>
            <w:r>
              <w:rPr>
                <w:rFonts w:ascii="Calibri" w:hAnsi="Calibri" w:cs="Calibri"/>
                <w:sz w:val="22"/>
                <w:szCs w:val="22"/>
              </w:rPr>
              <w:t>36</w:t>
            </w:r>
          </w:p>
        </w:tc>
        <w:tc>
          <w:tcPr>
            <w:tcW w:w="1087" w:type="pct"/>
          </w:tcPr>
          <w:p w14:paraId="2431F1ED" w14:textId="29BE11F8" w:rsidR="007626F3" w:rsidRPr="00822B29" w:rsidRDefault="00367F78" w:rsidP="007626F3">
            <w:pPr>
              <w:jc w:val="right"/>
              <w:rPr>
                <w:rFonts w:ascii="Calibri" w:hAnsi="Calibri" w:cs="Calibri"/>
                <w:sz w:val="22"/>
                <w:szCs w:val="22"/>
              </w:rPr>
            </w:pPr>
            <w:r>
              <w:rPr>
                <w:rFonts w:ascii="Calibri" w:hAnsi="Calibri" w:cs="Calibri"/>
                <w:sz w:val="22"/>
                <w:szCs w:val="22"/>
              </w:rPr>
              <w:t>36</w:t>
            </w:r>
          </w:p>
        </w:tc>
        <w:tc>
          <w:tcPr>
            <w:tcW w:w="1146" w:type="pct"/>
          </w:tcPr>
          <w:p w14:paraId="2B1AC6AC" w14:textId="2EFDE4DD" w:rsidR="007626F3" w:rsidRPr="000B49C9" w:rsidRDefault="007626F3" w:rsidP="007626F3">
            <w:pPr>
              <w:jc w:val="right"/>
              <w:rPr>
                <w:rFonts w:ascii="Calibri" w:hAnsi="Calibri" w:cs="Calibri"/>
                <w:sz w:val="22"/>
                <w:szCs w:val="22"/>
              </w:rPr>
            </w:pPr>
            <w:r w:rsidRPr="000B49C9">
              <w:rPr>
                <w:rFonts w:ascii="Calibri" w:hAnsi="Calibri" w:cs="Calibri"/>
                <w:sz w:val="22"/>
                <w:szCs w:val="22"/>
              </w:rPr>
              <w:t>3</w:t>
            </w:r>
            <w:r w:rsidR="00367F78">
              <w:rPr>
                <w:rFonts w:ascii="Calibri" w:hAnsi="Calibri" w:cs="Calibri"/>
                <w:sz w:val="22"/>
                <w:szCs w:val="22"/>
              </w:rPr>
              <w:t>6</w:t>
            </w:r>
          </w:p>
        </w:tc>
      </w:tr>
      <w:tr w:rsidR="007626F3" w14:paraId="5BCBAF13" w14:textId="77777777" w:rsidTr="0015140E">
        <w:tc>
          <w:tcPr>
            <w:tcW w:w="1650" w:type="pct"/>
          </w:tcPr>
          <w:p w14:paraId="095A003C" w14:textId="58421C33" w:rsidR="007626F3" w:rsidRPr="000B49C9" w:rsidRDefault="007626F3" w:rsidP="007626F3">
            <w:pPr>
              <w:rPr>
                <w:rFonts w:ascii="Calibri" w:hAnsi="Calibri" w:cs="Calibri"/>
                <w:sz w:val="22"/>
                <w:szCs w:val="22"/>
              </w:rPr>
            </w:pPr>
            <w:r w:rsidRPr="000B49C9">
              <w:rPr>
                <w:rFonts w:ascii="Calibri" w:hAnsi="Calibri" w:cs="Calibri"/>
                <w:sz w:val="22"/>
                <w:szCs w:val="22"/>
              </w:rPr>
              <w:t>Consumables</w:t>
            </w:r>
          </w:p>
        </w:tc>
        <w:tc>
          <w:tcPr>
            <w:tcW w:w="1117" w:type="pct"/>
          </w:tcPr>
          <w:p w14:paraId="5CC7B026" w14:textId="29CA69E2" w:rsidR="007626F3" w:rsidRPr="00822B29" w:rsidRDefault="00335851" w:rsidP="007626F3">
            <w:pPr>
              <w:jc w:val="right"/>
              <w:rPr>
                <w:rFonts w:ascii="Calibri" w:hAnsi="Calibri" w:cs="Calibri"/>
                <w:sz w:val="22"/>
                <w:szCs w:val="22"/>
              </w:rPr>
            </w:pPr>
            <w:r>
              <w:rPr>
                <w:rFonts w:ascii="Calibri" w:hAnsi="Calibri" w:cs="Calibri"/>
                <w:sz w:val="22"/>
                <w:szCs w:val="22"/>
              </w:rPr>
              <w:t>1,</w:t>
            </w:r>
            <w:r w:rsidR="00351168">
              <w:rPr>
                <w:rFonts w:ascii="Calibri" w:hAnsi="Calibri" w:cs="Calibri"/>
                <w:sz w:val="22"/>
                <w:szCs w:val="22"/>
              </w:rPr>
              <w:t>000</w:t>
            </w:r>
          </w:p>
        </w:tc>
        <w:tc>
          <w:tcPr>
            <w:tcW w:w="1087" w:type="pct"/>
          </w:tcPr>
          <w:p w14:paraId="73BD7E0A" w14:textId="773D9A52" w:rsidR="007626F3" w:rsidRPr="00822B29" w:rsidRDefault="00335851" w:rsidP="007626F3">
            <w:pPr>
              <w:jc w:val="right"/>
              <w:rPr>
                <w:rFonts w:ascii="Calibri" w:hAnsi="Calibri" w:cs="Calibri"/>
                <w:sz w:val="22"/>
                <w:szCs w:val="22"/>
              </w:rPr>
            </w:pPr>
            <w:r>
              <w:rPr>
                <w:rFonts w:ascii="Calibri" w:hAnsi="Calibri" w:cs="Calibri"/>
                <w:sz w:val="22"/>
                <w:szCs w:val="22"/>
              </w:rPr>
              <w:t>1,</w:t>
            </w:r>
            <w:r w:rsidR="00160BF2">
              <w:rPr>
                <w:rFonts w:ascii="Calibri" w:hAnsi="Calibri" w:cs="Calibri"/>
                <w:sz w:val="22"/>
                <w:szCs w:val="22"/>
              </w:rPr>
              <w:t>000</w:t>
            </w:r>
          </w:p>
        </w:tc>
        <w:tc>
          <w:tcPr>
            <w:tcW w:w="1146" w:type="pct"/>
          </w:tcPr>
          <w:p w14:paraId="4799367A" w14:textId="064545E7" w:rsidR="007626F3" w:rsidRPr="000B49C9" w:rsidRDefault="00335851" w:rsidP="007626F3">
            <w:pPr>
              <w:jc w:val="right"/>
              <w:rPr>
                <w:rFonts w:ascii="Calibri" w:hAnsi="Calibri" w:cs="Calibri"/>
                <w:sz w:val="22"/>
                <w:szCs w:val="22"/>
              </w:rPr>
            </w:pPr>
            <w:r>
              <w:rPr>
                <w:rFonts w:ascii="Calibri" w:hAnsi="Calibri" w:cs="Calibri"/>
                <w:sz w:val="22"/>
                <w:szCs w:val="22"/>
              </w:rPr>
              <w:t>1,</w:t>
            </w:r>
            <w:r w:rsidR="001275CF">
              <w:rPr>
                <w:rFonts w:ascii="Calibri" w:hAnsi="Calibri" w:cs="Calibri"/>
                <w:sz w:val="22"/>
                <w:szCs w:val="22"/>
              </w:rPr>
              <w:t>000</w:t>
            </w:r>
          </w:p>
        </w:tc>
      </w:tr>
      <w:tr w:rsidR="007626F3" w14:paraId="03E5604C" w14:textId="77777777" w:rsidTr="0015140E">
        <w:tc>
          <w:tcPr>
            <w:tcW w:w="1650" w:type="pct"/>
          </w:tcPr>
          <w:p w14:paraId="3008540E" w14:textId="699D955C" w:rsidR="007626F3" w:rsidRPr="000B49C9" w:rsidRDefault="007626F3" w:rsidP="007626F3">
            <w:pPr>
              <w:rPr>
                <w:rFonts w:ascii="Calibri" w:hAnsi="Calibri" w:cs="Calibri"/>
                <w:sz w:val="22"/>
                <w:szCs w:val="22"/>
              </w:rPr>
            </w:pPr>
            <w:r w:rsidRPr="000B49C9">
              <w:rPr>
                <w:rFonts w:ascii="Calibri" w:hAnsi="Calibri" w:cs="Calibri"/>
                <w:sz w:val="22"/>
                <w:szCs w:val="22"/>
              </w:rPr>
              <w:t>Overheads</w:t>
            </w:r>
          </w:p>
        </w:tc>
        <w:tc>
          <w:tcPr>
            <w:tcW w:w="1117" w:type="pct"/>
          </w:tcPr>
          <w:p w14:paraId="4A8D62FE" w14:textId="1E9F71C7" w:rsidR="007626F3" w:rsidRPr="00822B29" w:rsidRDefault="00335851" w:rsidP="007626F3">
            <w:pPr>
              <w:jc w:val="right"/>
              <w:rPr>
                <w:rFonts w:ascii="Calibri" w:hAnsi="Calibri" w:cs="Calibri"/>
                <w:sz w:val="22"/>
                <w:szCs w:val="22"/>
              </w:rPr>
            </w:pPr>
            <w:r>
              <w:rPr>
                <w:rFonts w:ascii="Calibri" w:hAnsi="Calibri" w:cs="Calibri"/>
                <w:sz w:val="22"/>
                <w:szCs w:val="22"/>
              </w:rPr>
              <w:t>343</w:t>
            </w:r>
          </w:p>
        </w:tc>
        <w:tc>
          <w:tcPr>
            <w:tcW w:w="1087" w:type="pct"/>
          </w:tcPr>
          <w:p w14:paraId="2D1B962C" w14:textId="4F337964" w:rsidR="007626F3" w:rsidRPr="00822B29" w:rsidRDefault="00335851" w:rsidP="007626F3">
            <w:pPr>
              <w:jc w:val="right"/>
              <w:rPr>
                <w:rFonts w:ascii="Calibri" w:hAnsi="Calibri" w:cs="Calibri"/>
                <w:sz w:val="22"/>
                <w:szCs w:val="22"/>
              </w:rPr>
            </w:pPr>
            <w:r>
              <w:rPr>
                <w:rFonts w:ascii="Calibri" w:hAnsi="Calibri" w:cs="Calibri"/>
                <w:sz w:val="22"/>
                <w:szCs w:val="22"/>
              </w:rPr>
              <w:t>343</w:t>
            </w:r>
          </w:p>
        </w:tc>
        <w:tc>
          <w:tcPr>
            <w:tcW w:w="1146" w:type="pct"/>
          </w:tcPr>
          <w:p w14:paraId="165CDF0B" w14:textId="11DAE979" w:rsidR="007626F3" w:rsidRPr="000B49C9" w:rsidRDefault="00335851" w:rsidP="007626F3">
            <w:pPr>
              <w:jc w:val="right"/>
              <w:rPr>
                <w:rFonts w:ascii="Calibri" w:hAnsi="Calibri" w:cs="Calibri"/>
                <w:sz w:val="22"/>
                <w:szCs w:val="22"/>
              </w:rPr>
            </w:pPr>
            <w:r>
              <w:rPr>
                <w:rFonts w:ascii="Calibri" w:hAnsi="Calibri" w:cs="Calibri"/>
                <w:sz w:val="22"/>
                <w:szCs w:val="22"/>
              </w:rPr>
              <w:t>343</w:t>
            </w:r>
          </w:p>
        </w:tc>
      </w:tr>
      <w:tr w:rsidR="007626F3" w14:paraId="6838C140" w14:textId="77777777" w:rsidTr="0015140E">
        <w:tc>
          <w:tcPr>
            <w:tcW w:w="1650" w:type="pct"/>
          </w:tcPr>
          <w:p w14:paraId="11ABF909" w14:textId="325537F6" w:rsidR="007626F3" w:rsidRPr="000B49C9" w:rsidRDefault="007626F3" w:rsidP="007626F3">
            <w:pPr>
              <w:rPr>
                <w:rFonts w:ascii="Calibri" w:hAnsi="Calibri" w:cs="Calibri"/>
                <w:sz w:val="22"/>
                <w:szCs w:val="22"/>
              </w:rPr>
            </w:pPr>
            <w:r w:rsidRPr="000B49C9">
              <w:rPr>
                <w:rFonts w:ascii="Calibri" w:hAnsi="Calibri" w:cs="Calibri"/>
                <w:sz w:val="22"/>
                <w:szCs w:val="22"/>
              </w:rPr>
              <w:t>Base Cost</w:t>
            </w:r>
          </w:p>
        </w:tc>
        <w:tc>
          <w:tcPr>
            <w:tcW w:w="1117" w:type="pct"/>
          </w:tcPr>
          <w:p w14:paraId="0D7D954E" w14:textId="4F02C49E" w:rsidR="007626F3" w:rsidRPr="00822B29" w:rsidRDefault="004427FD" w:rsidP="007626F3">
            <w:pPr>
              <w:jc w:val="right"/>
              <w:rPr>
                <w:rFonts w:ascii="Calibri" w:hAnsi="Calibri" w:cs="Calibri"/>
                <w:sz w:val="22"/>
                <w:szCs w:val="22"/>
              </w:rPr>
            </w:pPr>
            <w:r>
              <w:rPr>
                <w:rFonts w:ascii="Calibri" w:hAnsi="Calibri" w:cs="Calibri"/>
                <w:sz w:val="22"/>
                <w:szCs w:val="22"/>
              </w:rPr>
              <w:t>2,804</w:t>
            </w:r>
          </w:p>
        </w:tc>
        <w:tc>
          <w:tcPr>
            <w:tcW w:w="1087" w:type="pct"/>
          </w:tcPr>
          <w:p w14:paraId="25D58C4E" w14:textId="15C1395C" w:rsidR="007626F3" w:rsidRPr="00822B29" w:rsidRDefault="004427FD" w:rsidP="007626F3">
            <w:pPr>
              <w:jc w:val="right"/>
              <w:rPr>
                <w:rFonts w:ascii="Calibri" w:hAnsi="Calibri" w:cs="Calibri"/>
                <w:sz w:val="22"/>
                <w:szCs w:val="22"/>
              </w:rPr>
            </w:pPr>
            <w:r>
              <w:rPr>
                <w:rFonts w:ascii="Calibri" w:hAnsi="Calibri" w:cs="Calibri"/>
                <w:sz w:val="22"/>
                <w:szCs w:val="22"/>
              </w:rPr>
              <w:t>2,804</w:t>
            </w:r>
          </w:p>
        </w:tc>
        <w:tc>
          <w:tcPr>
            <w:tcW w:w="1146" w:type="pct"/>
          </w:tcPr>
          <w:p w14:paraId="0C74644E" w14:textId="1D3A5A3B" w:rsidR="007626F3" w:rsidRPr="000B49C9" w:rsidRDefault="004427FD" w:rsidP="007626F3">
            <w:pPr>
              <w:jc w:val="right"/>
              <w:rPr>
                <w:rFonts w:ascii="Calibri" w:hAnsi="Calibri" w:cs="Calibri"/>
                <w:sz w:val="22"/>
                <w:szCs w:val="22"/>
              </w:rPr>
            </w:pPr>
            <w:r>
              <w:rPr>
                <w:rFonts w:ascii="Calibri" w:hAnsi="Calibri" w:cs="Calibri"/>
                <w:sz w:val="22"/>
                <w:szCs w:val="22"/>
              </w:rPr>
              <w:t>2,804</w:t>
            </w:r>
          </w:p>
        </w:tc>
      </w:tr>
      <w:tr w:rsidR="00E3523F" w14:paraId="628FCEC7" w14:textId="77777777" w:rsidTr="0015140E">
        <w:tc>
          <w:tcPr>
            <w:tcW w:w="1650" w:type="pct"/>
          </w:tcPr>
          <w:p w14:paraId="645AA7F0" w14:textId="6F52888D" w:rsidR="00E3523F" w:rsidRPr="000B49C9" w:rsidRDefault="00E3523F" w:rsidP="00E3523F">
            <w:pPr>
              <w:rPr>
                <w:rFonts w:ascii="Calibri" w:hAnsi="Calibri" w:cs="Calibri"/>
                <w:sz w:val="22"/>
                <w:szCs w:val="22"/>
              </w:rPr>
            </w:pPr>
            <w:r w:rsidRPr="000B49C9">
              <w:rPr>
                <w:rFonts w:ascii="Calibri" w:hAnsi="Calibri" w:cs="Calibri"/>
                <w:sz w:val="22"/>
                <w:szCs w:val="22"/>
              </w:rPr>
              <w:t>Service Costs</w:t>
            </w:r>
          </w:p>
        </w:tc>
        <w:tc>
          <w:tcPr>
            <w:tcW w:w="1117" w:type="pct"/>
          </w:tcPr>
          <w:p w14:paraId="04E98D6A" w14:textId="364E460D" w:rsidR="00E3523F" w:rsidRPr="00822B29" w:rsidRDefault="004427FD" w:rsidP="00E3523F">
            <w:pPr>
              <w:jc w:val="right"/>
              <w:rPr>
                <w:rFonts w:ascii="Calibri" w:hAnsi="Calibri" w:cs="Calibri"/>
                <w:sz w:val="22"/>
                <w:szCs w:val="22"/>
              </w:rPr>
            </w:pPr>
            <w:r>
              <w:rPr>
                <w:rFonts w:ascii="Calibri" w:hAnsi="Calibri" w:cs="Calibri"/>
                <w:sz w:val="22"/>
                <w:szCs w:val="22"/>
              </w:rPr>
              <w:t>1,000</w:t>
            </w:r>
          </w:p>
        </w:tc>
        <w:tc>
          <w:tcPr>
            <w:tcW w:w="1087" w:type="pct"/>
          </w:tcPr>
          <w:p w14:paraId="0EE2CC37" w14:textId="6B37C584" w:rsidR="00E3523F" w:rsidRPr="00822B29" w:rsidRDefault="004427FD" w:rsidP="00E3523F">
            <w:pPr>
              <w:jc w:val="right"/>
              <w:rPr>
                <w:rFonts w:ascii="Calibri" w:hAnsi="Calibri" w:cs="Calibri"/>
                <w:sz w:val="22"/>
                <w:szCs w:val="22"/>
              </w:rPr>
            </w:pPr>
            <w:r>
              <w:rPr>
                <w:rFonts w:ascii="Calibri" w:hAnsi="Calibri" w:cs="Calibri"/>
                <w:sz w:val="22"/>
                <w:szCs w:val="22"/>
              </w:rPr>
              <w:t>500</w:t>
            </w:r>
          </w:p>
        </w:tc>
        <w:tc>
          <w:tcPr>
            <w:tcW w:w="1146" w:type="pct"/>
          </w:tcPr>
          <w:p w14:paraId="2DC11001" w14:textId="5A77EECF" w:rsidR="00E3523F" w:rsidRPr="000B49C9" w:rsidRDefault="00E3523F" w:rsidP="00E3523F">
            <w:pPr>
              <w:jc w:val="right"/>
              <w:rPr>
                <w:rFonts w:ascii="Calibri" w:hAnsi="Calibri" w:cs="Calibri"/>
                <w:sz w:val="22"/>
                <w:szCs w:val="22"/>
              </w:rPr>
            </w:pPr>
            <w:r w:rsidRPr="000B49C9">
              <w:rPr>
                <w:rFonts w:ascii="Calibri" w:hAnsi="Calibri" w:cs="Calibri"/>
                <w:sz w:val="22"/>
                <w:szCs w:val="22"/>
              </w:rPr>
              <w:t>250</w:t>
            </w:r>
          </w:p>
        </w:tc>
      </w:tr>
      <w:tr w:rsidR="00E3523F" w14:paraId="1126EDED" w14:textId="77777777" w:rsidTr="0015140E">
        <w:tc>
          <w:tcPr>
            <w:tcW w:w="1650" w:type="pct"/>
          </w:tcPr>
          <w:p w14:paraId="41FC8F05" w14:textId="10DCD7A2" w:rsidR="00E3523F" w:rsidRPr="000B49C9" w:rsidRDefault="00E3523F" w:rsidP="00E3523F">
            <w:pPr>
              <w:rPr>
                <w:rFonts w:ascii="Calibri" w:hAnsi="Calibri" w:cs="Calibri"/>
                <w:sz w:val="22"/>
                <w:szCs w:val="22"/>
              </w:rPr>
            </w:pPr>
            <w:r w:rsidRPr="000B49C9">
              <w:rPr>
                <w:rFonts w:ascii="Calibri" w:hAnsi="Calibri" w:cs="Calibri"/>
                <w:sz w:val="22"/>
                <w:szCs w:val="22"/>
              </w:rPr>
              <w:t>Rental Payments</w:t>
            </w:r>
          </w:p>
        </w:tc>
        <w:tc>
          <w:tcPr>
            <w:tcW w:w="1117" w:type="pct"/>
          </w:tcPr>
          <w:p w14:paraId="11078DC8" w14:textId="3786C766" w:rsidR="00E3523F" w:rsidRPr="00822B29" w:rsidRDefault="006755E7" w:rsidP="00E3523F">
            <w:pPr>
              <w:jc w:val="right"/>
              <w:rPr>
                <w:rFonts w:ascii="Calibri" w:hAnsi="Calibri" w:cs="Calibri"/>
                <w:sz w:val="22"/>
                <w:szCs w:val="22"/>
              </w:rPr>
            </w:pPr>
            <w:r>
              <w:rPr>
                <w:rFonts w:ascii="Calibri" w:hAnsi="Calibri" w:cs="Calibri"/>
                <w:sz w:val="22"/>
                <w:szCs w:val="22"/>
              </w:rPr>
              <w:t>1,200</w:t>
            </w:r>
          </w:p>
        </w:tc>
        <w:tc>
          <w:tcPr>
            <w:tcW w:w="1087" w:type="pct"/>
          </w:tcPr>
          <w:p w14:paraId="69D6F8C3" w14:textId="2B463DD9" w:rsidR="00E3523F" w:rsidRPr="00822B29" w:rsidRDefault="006755E7" w:rsidP="00E3523F">
            <w:pPr>
              <w:jc w:val="right"/>
              <w:rPr>
                <w:rFonts w:ascii="Calibri" w:hAnsi="Calibri" w:cs="Calibri"/>
                <w:sz w:val="22"/>
                <w:szCs w:val="22"/>
              </w:rPr>
            </w:pPr>
            <w:r>
              <w:rPr>
                <w:rFonts w:ascii="Calibri" w:hAnsi="Calibri" w:cs="Calibri"/>
                <w:sz w:val="22"/>
                <w:szCs w:val="22"/>
              </w:rPr>
              <w:t>1,200</w:t>
            </w:r>
          </w:p>
        </w:tc>
        <w:tc>
          <w:tcPr>
            <w:tcW w:w="1146" w:type="pct"/>
          </w:tcPr>
          <w:p w14:paraId="77123923" w14:textId="2252770D" w:rsidR="00E3523F" w:rsidRPr="000B49C9" w:rsidRDefault="00F62FF1" w:rsidP="00E3523F">
            <w:pPr>
              <w:jc w:val="right"/>
              <w:rPr>
                <w:rFonts w:ascii="Calibri" w:hAnsi="Calibri" w:cs="Calibri"/>
                <w:sz w:val="22"/>
                <w:szCs w:val="22"/>
              </w:rPr>
            </w:pPr>
            <w:r>
              <w:rPr>
                <w:rFonts w:ascii="Calibri" w:hAnsi="Calibri" w:cs="Calibri"/>
                <w:sz w:val="22"/>
                <w:szCs w:val="22"/>
              </w:rPr>
              <w:t>600</w:t>
            </w:r>
          </w:p>
        </w:tc>
      </w:tr>
      <w:tr w:rsidR="00E3523F" w14:paraId="34F2486B" w14:textId="77777777" w:rsidTr="0015140E">
        <w:tc>
          <w:tcPr>
            <w:tcW w:w="1650" w:type="pct"/>
          </w:tcPr>
          <w:p w14:paraId="1D825A77" w14:textId="77776181" w:rsidR="00E3523F" w:rsidRDefault="00E3523F" w:rsidP="00E3523F">
            <w:pPr>
              <w:rPr>
                <w:rFonts w:ascii="Calibri" w:hAnsi="Calibri" w:cs="Calibri"/>
                <w:b/>
                <w:bCs/>
                <w:sz w:val="22"/>
                <w:szCs w:val="22"/>
              </w:rPr>
            </w:pPr>
            <w:r>
              <w:rPr>
                <w:rFonts w:ascii="Calibri" w:hAnsi="Calibri" w:cs="Calibri"/>
                <w:b/>
                <w:bCs/>
                <w:sz w:val="22"/>
                <w:szCs w:val="22"/>
              </w:rPr>
              <w:t>Total Cost</w:t>
            </w:r>
          </w:p>
        </w:tc>
        <w:tc>
          <w:tcPr>
            <w:tcW w:w="1117" w:type="pct"/>
          </w:tcPr>
          <w:p w14:paraId="2CD55801" w14:textId="31039C11" w:rsidR="00E3523F" w:rsidRPr="00D97FD8" w:rsidRDefault="00B706F4" w:rsidP="00E3523F">
            <w:pPr>
              <w:jc w:val="right"/>
              <w:rPr>
                <w:rFonts w:ascii="Calibri" w:hAnsi="Calibri" w:cs="Calibri"/>
                <w:b/>
                <w:bCs/>
                <w:sz w:val="22"/>
                <w:szCs w:val="22"/>
              </w:rPr>
            </w:pPr>
            <w:r>
              <w:rPr>
                <w:rFonts w:ascii="Calibri" w:hAnsi="Calibri" w:cs="Calibri"/>
                <w:b/>
                <w:bCs/>
                <w:sz w:val="22"/>
                <w:szCs w:val="22"/>
              </w:rPr>
              <w:t>4,834</w:t>
            </w:r>
          </w:p>
        </w:tc>
        <w:tc>
          <w:tcPr>
            <w:tcW w:w="1087" w:type="pct"/>
          </w:tcPr>
          <w:p w14:paraId="0F9DF0DD" w14:textId="667F272E" w:rsidR="00E3523F" w:rsidRPr="00D97FD8" w:rsidRDefault="006755E7" w:rsidP="00E3523F">
            <w:pPr>
              <w:jc w:val="right"/>
              <w:rPr>
                <w:rFonts w:ascii="Calibri" w:hAnsi="Calibri" w:cs="Calibri"/>
                <w:b/>
                <w:bCs/>
                <w:sz w:val="22"/>
                <w:szCs w:val="22"/>
              </w:rPr>
            </w:pPr>
            <w:r>
              <w:rPr>
                <w:rFonts w:ascii="Calibri" w:hAnsi="Calibri" w:cs="Calibri"/>
                <w:b/>
                <w:bCs/>
                <w:sz w:val="22"/>
                <w:szCs w:val="22"/>
              </w:rPr>
              <w:t>4</w:t>
            </w:r>
            <w:r w:rsidR="007E4525">
              <w:rPr>
                <w:rFonts w:ascii="Calibri" w:hAnsi="Calibri" w:cs="Calibri"/>
                <w:b/>
                <w:bCs/>
                <w:sz w:val="22"/>
                <w:szCs w:val="22"/>
              </w:rPr>
              <w:t>,</w:t>
            </w:r>
            <w:r w:rsidR="00160BF2">
              <w:rPr>
                <w:rFonts w:ascii="Calibri" w:hAnsi="Calibri" w:cs="Calibri"/>
                <w:b/>
                <w:bCs/>
                <w:sz w:val="22"/>
                <w:szCs w:val="22"/>
              </w:rPr>
              <w:t>334</w:t>
            </w:r>
          </w:p>
        </w:tc>
        <w:tc>
          <w:tcPr>
            <w:tcW w:w="1146" w:type="pct"/>
          </w:tcPr>
          <w:p w14:paraId="392E013D" w14:textId="2FF44B85" w:rsidR="00E3523F" w:rsidRPr="00D97FD8" w:rsidRDefault="00152646" w:rsidP="00E3523F">
            <w:pPr>
              <w:jc w:val="right"/>
              <w:rPr>
                <w:rFonts w:ascii="Calibri" w:hAnsi="Calibri" w:cs="Calibri"/>
                <w:b/>
                <w:bCs/>
                <w:sz w:val="22"/>
                <w:szCs w:val="22"/>
              </w:rPr>
            </w:pPr>
            <w:r>
              <w:rPr>
                <w:rFonts w:ascii="Calibri" w:hAnsi="Calibri" w:cs="Calibri"/>
                <w:b/>
                <w:bCs/>
                <w:sz w:val="22"/>
                <w:szCs w:val="22"/>
              </w:rPr>
              <w:t>3</w:t>
            </w:r>
            <w:r w:rsidR="00827C6A">
              <w:rPr>
                <w:rFonts w:ascii="Calibri" w:hAnsi="Calibri" w:cs="Calibri"/>
                <w:b/>
                <w:bCs/>
                <w:sz w:val="22"/>
                <w:szCs w:val="22"/>
              </w:rPr>
              <w:t>,</w:t>
            </w:r>
            <w:r>
              <w:rPr>
                <w:rFonts w:ascii="Calibri" w:hAnsi="Calibri" w:cs="Calibri"/>
                <w:b/>
                <w:bCs/>
                <w:sz w:val="22"/>
                <w:szCs w:val="22"/>
              </w:rPr>
              <w:t>484</w:t>
            </w:r>
          </w:p>
        </w:tc>
      </w:tr>
      <w:tr w:rsidR="00E3523F" w14:paraId="137D6336" w14:textId="77777777" w:rsidTr="0015140E">
        <w:tc>
          <w:tcPr>
            <w:tcW w:w="1650" w:type="pct"/>
          </w:tcPr>
          <w:p w14:paraId="4DD100BE" w14:textId="7798A0E9" w:rsidR="00E3523F" w:rsidRDefault="00E3523F" w:rsidP="00E3523F">
            <w:pPr>
              <w:rPr>
                <w:rFonts w:ascii="Calibri" w:hAnsi="Calibri" w:cs="Calibri"/>
                <w:b/>
                <w:bCs/>
                <w:sz w:val="22"/>
                <w:szCs w:val="22"/>
              </w:rPr>
            </w:pPr>
            <w:r>
              <w:rPr>
                <w:rFonts w:ascii="Calibri" w:hAnsi="Calibri" w:cs="Calibri"/>
                <w:b/>
                <w:bCs/>
                <w:sz w:val="22"/>
                <w:szCs w:val="22"/>
              </w:rPr>
              <w:t>SURPLUS PER CASE</w:t>
            </w:r>
          </w:p>
        </w:tc>
        <w:tc>
          <w:tcPr>
            <w:tcW w:w="1117" w:type="pct"/>
          </w:tcPr>
          <w:p w14:paraId="66166AFD" w14:textId="4E6A65B7" w:rsidR="00E3523F" w:rsidRPr="00D97FD8" w:rsidRDefault="00B706F4" w:rsidP="00E3523F">
            <w:pPr>
              <w:jc w:val="right"/>
              <w:rPr>
                <w:rFonts w:ascii="Calibri" w:hAnsi="Calibri" w:cs="Calibri"/>
                <w:b/>
                <w:bCs/>
                <w:sz w:val="22"/>
                <w:szCs w:val="22"/>
              </w:rPr>
            </w:pPr>
            <w:r>
              <w:rPr>
                <w:rFonts w:ascii="Calibri" w:hAnsi="Calibri" w:cs="Calibri"/>
                <w:b/>
                <w:bCs/>
                <w:sz w:val="22"/>
                <w:szCs w:val="22"/>
              </w:rPr>
              <w:t>543</w:t>
            </w:r>
          </w:p>
        </w:tc>
        <w:tc>
          <w:tcPr>
            <w:tcW w:w="1087" w:type="pct"/>
          </w:tcPr>
          <w:p w14:paraId="05135051" w14:textId="1A568556" w:rsidR="00E3523F" w:rsidRPr="00D97FD8" w:rsidRDefault="00160BF2" w:rsidP="00E3523F">
            <w:pPr>
              <w:jc w:val="right"/>
              <w:rPr>
                <w:rFonts w:ascii="Calibri" w:hAnsi="Calibri" w:cs="Calibri"/>
                <w:b/>
                <w:bCs/>
                <w:sz w:val="22"/>
                <w:szCs w:val="22"/>
              </w:rPr>
            </w:pPr>
            <w:r>
              <w:rPr>
                <w:rFonts w:ascii="Calibri" w:hAnsi="Calibri" w:cs="Calibri"/>
                <w:b/>
                <w:bCs/>
                <w:sz w:val="22"/>
                <w:szCs w:val="22"/>
              </w:rPr>
              <w:t>1,043</w:t>
            </w:r>
          </w:p>
        </w:tc>
        <w:tc>
          <w:tcPr>
            <w:tcW w:w="1146" w:type="pct"/>
          </w:tcPr>
          <w:p w14:paraId="50FCF630" w14:textId="0F30682C" w:rsidR="00E3523F" w:rsidRPr="00D97FD8" w:rsidRDefault="003D16F8" w:rsidP="00E3523F">
            <w:pPr>
              <w:jc w:val="right"/>
              <w:rPr>
                <w:rFonts w:ascii="Calibri" w:hAnsi="Calibri" w:cs="Calibri"/>
                <w:b/>
                <w:bCs/>
                <w:sz w:val="22"/>
                <w:szCs w:val="22"/>
              </w:rPr>
            </w:pPr>
            <w:r>
              <w:rPr>
                <w:rFonts w:ascii="Calibri" w:hAnsi="Calibri" w:cs="Calibri"/>
                <w:b/>
                <w:bCs/>
                <w:sz w:val="22"/>
                <w:szCs w:val="22"/>
              </w:rPr>
              <w:t>1,</w:t>
            </w:r>
            <w:r w:rsidR="00152646">
              <w:rPr>
                <w:rFonts w:ascii="Calibri" w:hAnsi="Calibri" w:cs="Calibri"/>
                <w:b/>
                <w:bCs/>
                <w:sz w:val="22"/>
                <w:szCs w:val="22"/>
              </w:rPr>
              <w:t>8</w:t>
            </w:r>
            <w:r>
              <w:rPr>
                <w:rFonts w:ascii="Calibri" w:hAnsi="Calibri" w:cs="Calibri"/>
                <w:b/>
                <w:bCs/>
                <w:sz w:val="22"/>
                <w:szCs w:val="22"/>
              </w:rPr>
              <w:t>93</w:t>
            </w:r>
          </w:p>
        </w:tc>
      </w:tr>
      <w:tr w:rsidR="00E3523F" w14:paraId="2EAD6451" w14:textId="77777777" w:rsidTr="0015140E">
        <w:tc>
          <w:tcPr>
            <w:tcW w:w="1650" w:type="pct"/>
          </w:tcPr>
          <w:p w14:paraId="4C53C4F1" w14:textId="16246C41" w:rsidR="00E3523F" w:rsidRDefault="00E3523F" w:rsidP="00E3523F">
            <w:pPr>
              <w:rPr>
                <w:rFonts w:ascii="Calibri" w:hAnsi="Calibri" w:cs="Calibri"/>
                <w:b/>
                <w:bCs/>
                <w:sz w:val="22"/>
                <w:szCs w:val="22"/>
              </w:rPr>
            </w:pPr>
            <w:r>
              <w:rPr>
                <w:rFonts w:ascii="Calibri" w:hAnsi="Calibri" w:cs="Calibri"/>
                <w:b/>
                <w:bCs/>
                <w:sz w:val="22"/>
                <w:szCs w:val="22"/>
              </w:rPr>
              <w:t>TOTAL ANNUAL SURPLUS</w:t>
            </w:r>
          </w:p>
        </w:tc>
        <w:tc>
          <w:tcPr>
            <w:tcW w:w="1117" w:type="pct"/>
          </w:tcPr>
          <w:p w14:paraId="44B71F7A" w14:textId="0680C798" w:rsidR="00E3523F" w:rsidRPr="00D97FD8" w:rsidRDefault="00B706F4" w:rsidP="00E3523F">
            <w:pPr>
              <w:jc w:val="right"/>
              <w:rPr>
                <w:rFonts w:ascii="Calibri" w:hAnsi="Calibri" w:cs="Calibri"/>
                <w:b/>
                <w:bCs/>
                <w:sz w:val="22"/>
                <w:szCs w:val="22"/>
              </w:rPr>
            </w:pPr>
            <w:r>
              <w:rPr>
                <w:rFonts w:ascii="Calibri" w:hAnsi="Calibri" w:cs="Calibri"/>
                <w:b/>
                <w:bCs/>
                <w:sz w:val="22"/>
                <w:szCs w:val="22"/>
              </w:rPr>
              <w:t>27,150</w:t>
            </w:r>
          </w:p>
        </w:tc>
        <w:tc>
          <w:tcPr>
            <w:tcW w:w="1087" w:type="pct"/>
          </w:tcPr>
          <w:p w14:paraId="403F6190" w14:textId="0B8442B8" w:rsidR="00E3523F" w:rsidRPr="00D97FD8" w:rsidRDefault="001275CF" w:rsidP="00E3523F">
            <w:pPr>
              <w:jc w:val="right"/>
              <w:rPr>
                <w:rFonts w:ascii="Calibri" w:hAnsi="Calibri" w:cs="Calibri"/>
                <w:b/>
                <w:bCs/>
                <w:sz w:val="22"/>
                <w:szCs w:val="22"/>
              </w:rPr>
            </w:pPr>
            <w:r>
              <w:rPr>
                <w:rFonts w:ascii="Calibri" w:hAnsi="Calibri" w:cs="Calibri"/>
                <w:b/>
                <w:bCs/>
                <w:sz w:val="22"/>
                <w:szCs w:val="22"/>
              </w:rPr>
              <w:t>104,300</w:t>
            </w:r>
          </w:p>
        </w:tc>
        <w:tc>
          <w:tcPr>
            <w:tcW w:w="1146" w:type="pct"/>
          </w:tcPr>
          <w:p w14:paraId="5A8EADC6" w14:textId="34996684" w:rsidR="00E3523F" w:rsidRDefault="00152646" w:rsidP="00E3523F">
            <w:pPr>
              <w:jc w:val="right"/>
              <w:rPr>
                <w:rFonts w:ascii="Calibri" w:hAnsi="Calibri" w:cs="Calibri"/>
                <w:b/>
                <w:bCs/>
                <w:sz w:val="22"/>
                <w:szCs w:val="22"/>
              </w:rPr>
            </w:pPr>
            <w:r>
              <w:rPr>
                <w:rFonts w:ascii="Calibri" w:hAnsi="Calibri" w:cs="Calibri"/>
                <w:b/>
                <w:bCs/>
                <w:sz w:val="22"/>
                <w:szCs w:val="22"/>
              </w:rPr>
              <w:t>378,</w:t>
            </w:r>
            <w:r w:rsidR="00702DA9">
              <w:rPr>
                <w:rFonts w:ascii="Calibri" w:hAnsi="Calibri" w:cs="Calibri"/>
                <w:b/>
                <w:bCs/>
                <w:sz w:val="22"/>
                <w:szCs w:val="22"/>
              </w:rPr>
              <w:t>600</w:t>
            </w:r>
          </w:p>
        </w:tc>
      </w:tr>
    </w:tbl>
    <w:p w14:paraId="679E4BCE" w14:textId="77777777" w:rsidR="001178ED" w:rsidRDefault="001178ED" w:rsidP="00434EB5">
      <w:pPr>
        <w:ind w:left="360"/>
        <w:rPr>
          <w:rFonts w:ascii="Calibri" w:hAnsi="Calibri" w:cs="Calibri"/>
          <w:b/>
          <w:bCs/>
          <w:sz w:val="22"/>
          <w:szCs w:val="22"/>
        </w:rPr>
      </w:pPr>
    </w:p>
    <w:p w14:paraId="4BC0B29A" w14:textId="77777777" w:rsidR="00771376" w:rsidRDefault="00771376" w:rsidP="00434EB5">
      <w:pPr>
        <w:ind w:left="360"/>
        <w:rPr>
          <w:rFonts w:ascii="Calibri" w:hAnsi="Calibri" w:cs="Calibri"/>
          <w:b/>
          <w:bCs/>
          <w:sz w:val="22"/>
          <w:szCs w:val="22"/>
        </w:rPr>
      </w:pPr>
    </w:p>
    <w:p w14:paraId="599A1A7D" w14:textId="77777777" w:rsidR="00771376" w:rsidRDefault="00771376" w:rsidP="00434EB5">
      <w:pPr>
        <w:ind w:left="360"/>
        <w:rPr>
          <w:rFonts w:ascii="Calibri" w:hAnsi="Calibri" w:cs="Calibri"/>
          <w:b/>
          <w:bCs/>
          <w:sz w:val="22"/>
          <w:szCs w:val="22"/>
        </w:rPr>
      </w:pPr>
    </w:p>
    <w:p w14:paraId="154D9841" w14:textId="77777777" w:rsidR="00B867D4" w:rsidRDefault="00B867D4" w:rsidP="00434EB5">
      <w:pPr>
        <w:ind w:left="360"/>
        <w:rPr>
          <w:rFonts w:ascii="Calibri" w:hAnsi="Calibri" w:cs="Calibri"/>
          <w:b/>
          <w:bCs/>
          <w:sz w:val="22"/>
          <w:szCs w:val="22"/>
        </w:rPr>
      </w:pPr>
    </w:p>
    <w:p w14:paraId="418DF5B3" w14:textId="791427F3" w:rsidR="00434EB5" w:rsidRPr="009243CF" w:rsidRDefault="00434EB5" w:rsidP="00434EB5">
      <w:pPr>
        <w:ind w:left="360"/>
        <w:rPr>
          <w:rFonts w:ascii="Calibri" w:hAnsi="Calibri" w:cs="Calibri"/>
          <w:b/>
          <w:bCs/>
          <w:sz w:val="22"/>
          <w:szCs w:val="22"/>
        </w:rPr>
      </w:pPr>
      <w:r w:rsidRPr="009243CF">
        <w:rPr>
          <w:rFonts w:ascii="Calibri" w:hAnsi="Calibri" w:cs="Calibri"/>
          <w:b/>
          <w:bCs/>
          <w:sz w:val="22"/>
          <w:szCs w:val="22"/>
        </w:rPr>
        <w:lastRenderedPageBreak/>
        <w:t>ASSUMPTIONS</w:t>
      </w:r>
    </w:p>
    <w:p w14:paraId="33FC0CF1" w14:textId="77777777" w:rsidR="009243CF" w:rsidRDefault="009243CF" w:rsidP="00434EB5">
      <w:pPr>
        <w:rPr>
          <w:rFonts w:ascii="Calibri" w:hAnsi="Calibri" w:cs="Calibri"/>
          <w:sz w:val="22"/>
          <w:szCs w:val="22"/>
        </w:rPr>
      </w:pPr>
    </w:p>
    <w:p w14:paraId="7E179BBB" w14:textId="38FB7D8B" w:rsidR="00434EB5" w:rsidRPr="00221B78" w:rsidRDefault="00434EB5" w:rsidP="00221B78">
      <w:pPr>
        <w:pStyle w:val="ListParagraph"/>
        <w:numPr>
          <w:ilvl w:val="0"/>
          <w:numId w:val="5"/>
        </w:numPr>
        <w:rPr>
          <w:rFonts w:ascii="Calibri" w:hAnsi="Calibri" w:cs="Calibri"/>
        </w:rPr>
      </w:pPr>
      <w:r w:rsidRPr="00221B78">
        <w:rPr>
          <w:rFonts w:ascii="Calibri" w:hAnsi="Calibri" w:cs="Calibri"/>
        </w:rPr>
        <w:t xml:space="preserve">The Revenue figure is based on the current baseline reimbursement from central funding for the treatment uplifted by 1.07 </w:t>
      </w:r>
      <w:r w:rsidR="00474A2D" w:rsidRPr="00221B78">
        <w:rPr>
          <w:rFonts w:ascii="Calibri" w:hAnsi="Calibri" w:cs="Calibri"/>
        </w:rPr>
        <w:t xml:space="preserve">being </w:t>
      </w:r>
      <w:r w:rsidR="00FB738E">
        <w:rPr>
          <w:rFonts w:ascii="Calibri" w:hAnsi="Calibri" w:cs="Calibri"/>
        </w:rPr>
        <w:t>an average</w:t>
      </w:r>
      <w:r w:rsidRPr="00221B78">
        <w:rPr>
          <w:rFonts w:ascii="Calibri" w:hAnsi="Calibri" w:cs="Calibri"/>
        </w:rPr>
        <w:t xml:space="preserve"> uplift factor</w:t>
      </w:r>
      <w:r w:rsidR="00FB738E">
        <w:rPr>
          <w:rFonts w:ascii="Calibri" w:hAnsi="Calibri" w:cs="Calibri"/>
        </w:rPr>
        <w:t>.</w:t>
      </w:r>
    </w:p>
    <w:p w14:paraId="0D25F9A9" w14:textId="77777777" w:rsidR="00221B78" w:rsidRDefault="00221B78" w:rsidP="00434EB5">
      <w:pPr>
        <w:rPr>
          <w:rFonts w:ascii="Calibri" w:hAnsi="Calibri" w:cs="Calibri"/>
          <w:sz w:val="22"/>
          <w:szCs w:val="22"/>
        </w:rPr>
      </w:pPr>
    </w:p>
    <w:p w14:paraId="6ABE4E9D" w14:textId="77777777" w:rsidR="00434EB5" w:rsidRPr="00221B78" w:rsidRDefault="00434EB5" w:rsidP="00221B78">
      <w:pPr>
        <w:pStyle w:val="ListParagraph"/>
        <w:numPr>
          <w:ilvl w:val="0"/>
          <w:numId w:val="5"/>
        </w:numPr>
        <w:rPr>
          <w:rFonts w:ascii="Calibri" w:hAnsi="Calibri" w:cs="Calibri"/>
        </w:rPr>
      </w:pPr>
      <w:r w:rsidRPr="00221B78">
        <w:rPr>
          <w:rFonts w:ascii="Calibri" w:hAnsi="Calibri" w:cs="Calibri"/>
        </w:rPr>
        <w:t>Base costs taken from current NHS business case costings.</w:t>
      </w:r>
    </w:p>
    <w:p w14:paraId="3D9981EE" w14:textId="77777777" w:rsidR="00221B78" w:rsidRPr="002723F1" w:rsidRDefault="00221B78" w:rsidP="009243CF">
      <w:pPr>
        <w:rPr>
          <w:rFonts w:ascii="Calibri" w:hAnsi="Calibri" w:cs="Calibri"/>
          <w:sz w:val="22"/>
          <w:szCs w:val="22"/>
        </w:rPr>
      </w:pPr>
    </w:p>
    <w:p w14:paraId="21DADCA4" w14:textId="34A45EBE" w:rsidR="00434EB5" w:rsidRPr="00221B78" w:rsidRDefault="00434EB5" w:rsidP="00221B78">
      <w:pPr>
        <w:pStyle w:val="ListParagraph"/>
        <w:numPr>
          <w:ilvl w:val="0"/>
          <w:numId w:val="5"/>
        </w:numPr>
        <w:rPr>
          <w:rFonts w:ascii="Calibri" w:hAnsi="Calibri" w:cs="Calibri"/>
        </w:rPr>
      </w:pPr>
      <w:r w:rsidRPr="00221B78">
        <w:rPr>
          <w:rFonts w:ascii="Calibri" w:hAnsi="Calibri" w:cs="Calibri"/>
        </w:rPr>
        <w:t xml:space="preserve">Service costs </w:t>
      </w:r>
      <w:r w:rsidR="00476083">
        <w:rPr>
          <w:rFonts w:ascii="Calibri" w:hAnsi="Calibri" w:cs="Calibri"/>
        </w:rPr>
        <w:t>estimated at £50,000 per annum.</w:t>
      </w:r>
    </w:p>
    <w:p w14:paraId="1CFFFC15" w14:textId="77777777" w:rsidR="00221B78" w:rsidRPr="002723F1" w:rsidRDefault="00221B78" w:rsidP="00221B78">
      <w:pPr>
        <w:rPr>
          <w:rFonts w:ascii="Calibri" w:hAnsi="Calibri" w:cs="Calibri"/>
          <w:sz w:val="22"/>
          <w:szCs w:val="22"/>
        </w:rPr>
      </w:pPr>
    </w:p>
    <w:p w14:paraId="4F51FBA4" w14:textId="2887F0E6" w:rsidR="00434EB5" w:rsidRPr="00221B78" w:rsidRDefault="00434EB5" w:rsidP="00221B78">
      <w:pPr>
        <w:pStyle w:val="ListParagraph"/>
        <w:numPr>
          <w:ilvl w:val="0"/>
          <w:numId w:val="5"/>
        </w:numPr>
        <w:rPr>
          <w:rFonts w:ascii="Calibri" w:hAnsi="Calibri" w:cs="Calibri"/>
        </w:rPr>
      </w:pPr>
      <w:r w:rsidRPr="00221B78">
        <w:rPr>
          <w:rFonts w:ascii="Calibri" w:hAnsi="Calibri" w:cs="Calibri"/>
        </w:rPr>
        <w:t xml:space="preserve">On the above case numbers </w:t>
      </w:r>
      <w:r w:rsidR="002B4A27" w:rsidRPr="00221B78">
        <w:rPr>
          <w:rFonts w:ascii="Calibri" w:hAnsi="Calibri" w:cs="Calibri"/>
        </w:rPr>
        <w:t>there is</w:t>
      </w:r>
      <w:r w:rsidRPr="00221B78">
        <w:rPr>
          <w:rFonts w:ascii="Calibri" w:hAnsi="Calibri" w:cs="Calibri"/>
        </w:rPr>
        <w:t xml:space="preserve"> a “net” return to the Hospital ranging </w:t>
      </w:r>
      <w:r w:rsidR="00474A2D" w:rsidRPr="00221B78">
        <w:rPr>
          <w:rFonts w:ascii="Calibri" w:hAnsi="Calibri" w:cs="Calibri"/>
        </w:rPr>
        <w:t>from £</w:t>
      </w:r>
      <w:r w:rsidR="00670A02">
        <w:rPr>
          <w:rFonts w:ascii="Calibri" w:hAnsi="Calibri" w:cs="Calibri"/>
        </w:rPr>
        <w:t>27,150</w:t>
      </w:r>
      <w:r w:rsidRPr="00221B78">
        <w:rPr>
          <w:rFonts w:ascii="Calibri" w:hAnsi="Calibri" w:cs="Calibri"/>
        </w:rPr>
        <w:t xml:space="preserve">, </w:t>
      </w:r>
      <w:r w:rsidR="00BD7805">
        <w:rPr>
          <w:rFonts w:ascii="Calibri" w:hAnsi="Calibri" w:cs="Calibri"/>
        </w:rPr>
        <w:t xml:space="preserve">in year one </w:t>
      </w:r>
      <w:r w:rsidRPr="00221B78">
        <w:rPr>
          <w:rFonts w:ascii="Calibri" w:hAnsi="Calibri" w:cs="Calibri"/>
        </w:rPr>
        <w:t>through £</w:t>
      </w:r>
      <w:r w:rsidR="00670A02">
        <w:rPr>
          <w:rFonts w:ascii="Calibri" w:hAnsi="Calibri" w:cs="Calibri"/>
        </w:rPr>
        <w:t>104,300</w:t>
      </w:r>
      <w:r w:rsidR="00AD64E7">
        <w:rPr>
          <w:rFonts w:ascii="Calibri" w:hAnsi="Calibri" w:cs="Calibri"/>
        </w:rPr>
        <w:t xml:space="preserve"> to £</w:t>
      </w:r>
      <w:r w:rsidR="00655D76">
        <w:rPr>
          <w:rFonts w:ascii="Calibri" w:hAnsi="Calibri" w:cs="Calibri"/>
        </w:rPr>
        <w:t>378,600</w:t>
      </w:r>
      <w:r w:rsidRPr="00221B78">
        <w:rPr>
          <w:rFonts w:ascii="Calibri" w:hAnsi="Calibri" w:cs="Calibri"/>
        </w:rPr>
        <w:t xml:space="preserve">. An operating theatre is capable of handling </w:t>
      </w:r>
      <w:r w:rsidR="00455E40">
        <w:rPr>
          <w:rFonts w:ascii="Calibri" w:hAnsi="Calibri" w:cs="Calibri"/>
        </w:rPr>
        <w:t>3</w:t>
      </w:r>
      <w:r w:rsidRPr="00221B78">
        <w:rPr>
          <w:rFonts w:ascii="Calibri" w:hAnsi="Calibri" w:cs="Calibri"/>
        </w:rPr>
        <w:t xml:space="preserve"> HIFU cases a day as against </w:t>
      </w:r>
      <w:r w:rsidR="002B4A27" w:rsidRPr="00221B78">
        <w:rPr>
          <w:rFonts w:ascii="Calibri" w:hAnsi="Calibri" w:cs="Calibri"/>
        </w:rPr>
        <w:t>two</w:t>
      </w:r>
      <w:r w:rsidRPr="00221B78">
        <w:rPr>
          <w:rFonts w:ascii="Calibri" w:hAnsi="Calibri" w:cs="Calibri"/>
        </w:rPr>
        <w:t xml:space="preserve"> surgical procedures.</w:t>
      </w:r>
    </w:p>
    <w:p w14:paraId="4DD9D6CB" w14:textId="77777777" w:rsidR="00221B78" w:rsidRPr="002723F1" w:rsidRDefault="00221B78" w:rsidP="00221B78">
      <w:pPr>
        <w:rPr>
          <w:rFonts w:ascii="Calibri" w:hAnsi="Calibri" w:cs="Calibri"/>
          <w:sz w:val="22"/>
          <w:szCs w:val="22"/>
        </w:rPr>
      </w:pPr>
    </w:p>
    <w:p w14:paraId="172FB42C" w14:textId="77777777" w:rsidR="00434EB5" w:rsidRPr="00221B78" w:rsidRDefault="00434EB5" w:rsidP="00221B78">
      <w:pPr>
        <w:pStyle w:val="ListParagraph"/>
        <w:numPr>
          <w:ilvl w:val="0"/>
          <w:numId w:val="5"/>
        </w:numPr>
        <w:rPr>
          <w:rFonts w:ascii="Calibri" w:hAnsi="Calibri" w:cs="Calibri"/>
        </w:rPr>
      </w:pPr>
      <w:r w:rsidRPr="00221B78">
        <w:rPr>
          <w:rFonts w:ascii="Calibri" w:hAnsi="Calibri" w:cs="Calibri"/>
        </w:rPr>
        <w:t>There will also be significant savings on the ongoing cost of ED treatments, incontinence products and rectal passage treatments no longer found to be necessary.</w:t>
      </w:r>
    </w:p>
    <w:p w14:paraId="0193B504" w14:textId="77777777" w:rsidR="00221B78" w:rsidRPr="002723F1" w:rsidRDefault="00221B78" w:rsidP="00221B78">
      <w:pPr>
        <w:rPr>
          <w:rFonts w:ascii="Calibri" w:hAnsi="Calibri" w:cs="Calibri"/>
          <w:sz w:val="22"/>
          <w:szCs w:val="22"/>
        </w:rPr>
      </w:pPr>
    </w:p>
    <w:p w14:paraId="08B77B3B" w14:textId="60B1C83D" w:rsidR="00434EB5" w:rsidRDefault="00434EB5" w:rsidP="00221B78">
      <w:pPr>
        <w:pStyle w:val="ListParagraph"/>
        <w:numPr>
          <w:ilvl w:val="0"/>
          <w:numId w:val="5"/>
        </w:numPr>
        <w:rPr>
          <w:rFonts w:ascii="Calibri" w:hAnsi="Calibri" w:cs="Calibri"/>
        </w:rPr>
      </w:pPr>
      <w:r w:rsidRPr="00221B78">
        <w:rPr>
          <w:rFonts w:ascii="Calibri" w:hAnsi="Calibri" w:cs="Calibri"/>
        </w:rPr>
        <w:t xml:space="preserve">Over the 8 year life before an upgrade is needed it is estimated that usage would increase from </w:t>
      </w:r>
      <w:r w:rsidR="0031400D">
        <w:rPr>
          <w:rFonts w:ascii="Calibri" w:hAnsi="Calibri" w:cs="Calibri"/>
        </w:rPr>
        <w:t>50</w:t>
      </w:r>
      <w:r w:rsidRPr="00221B78">
        <w:rPr>
          <w:rFonts w:ascii="Calibri" w:hAnsi="Calibri" w:cs="Calibri"/>
        </w:rPr>
        <w:t xml:space="preserve"> in year one to around 250 in year eight given more awareness of the treatment option and the growing number of younger men being diagnosed who are particularly worried about the levels of risk of erectile dysfunction and/or incontinence that can occur with surgery or rectal damage that can occur with radiotherapy. All three very debilitating for any man</w:t>
      </w:r>
      <w:r w:rsidR="009C08DB">
        <w:rPr>
          <w:rFonts w:ascii="Calibri" w:hAnsi="Calibri" w:cs="Calibri"/>
        </w:rPr>
        <w:t>, b</w:t>
      </w:r>
      <w:r w:rsidRPr="00221B78">
        <w:rPr>
          <w:rFonts w:ascii="Calibri" w:hAnsi="Calibri" w:cs="Calibri"/>
        </w:rPr>
        <w:t>ut particularly those in their early 50’s.</w:t>
      </w:r>
    </w:p>
    <w:p w14:paraId="793ECEE2" w14:textId="77777777" w:rsidR="00CA4AC9" w:rsidRPr="00CA4AC9" w:rsidRDefault="00CA4AC9" w:rsidP="00CA4AC9">
      <w:pPr>
        <w:rPr>
          <w:rFonts w:ascii="Calibri" w:hAnsi="Calibri" w:cs="Calibri"/>
        </w:rPr>
      </w:pPr>
    </w:p>
    <w:p w14:paraId="01FF31F9" w14:textId="6CEA6E07" w:rsidR="00434EB5" w:rsidRPr="00221B78" w:rsidRDefault="0031400D" w:rsidP="00221B78">
      <w:pPr>
        <w:pStyle w:val="ListParagraph"/>
        <w:numPr>
          <w:ilvl w:val="0"/>
          <w:numId w:val="5"/>
        </w:numPr>
        <w:rPr>
          <w:rFonts w:ascii="Calibri" w:hAnsi="Calibri" w:cs="Calibri"/>
        </w:rPr>
      </w:pPr>
      <w:r>
        <w:rPr>
          <w:rFonts w:ascii="Calibri" w:hAnsi="Calibri" w:cs="Calibri"/>
        </w:rPr>
        <w:t>Research to date indicates risk</w:t>
      </w:r>
      <w:r w:rsidR="00434EB5" w:rsidRPr="00221B78">
        <w:rPr>
          <w:rFonts w:ascii="Calibri" w:hAnsi="Calibri" w:cs="Calibri"/>
        </w:rPr>
        <w:t xml:space="preserve"> reduction levels of around 80% for ED, 90% for Incontinence and virtually 100% for rectal damage. This is massive in human terms given the impact on partners, other members of the family and the patients mental </w:t>
      </w:r>
      <w:r w:rsidR="00A2384A" w:rsidRPr="00221B78">
        <w:rPr>
          <w:rFonts w:ascii="Calibri" w:hAnsi="Calibri" w:cs="Calibri"/>
        </w:rPr>
        <w:t>wellbeing</w:t>
      </w:r>
      <w:r w:rsidR="00434EB5" w:rsidRPr="00221B78">
        <w:rPr>
          <w:rFonts w:ascii="Calibri" w:hAnsi="Calibri" w:cs="Calibri"/>
        </w:rPr>
        <w:t>.</w:t>
      </w:r>
    </w:p>
    <w:p w14:paraId="6E3899F7" w14:textId="77777777" w:rsidR="00221B78" w:rsidRPr="002723F1" w:rsidRDefault="00221B78" w:rsidP="00221B78">
      <w:pPr>
        <w:rPr>
          <w:rFonts w:ascii="Calibri" w:hAnsi="Calibri" w:cs="Calibri"/>
          <w:sz w:val="22"/>
          <w:szCs w:val="22"/>
        </w:rPr>
      </w:pPr>
    </w:p>
    <w:p w14:paraId="362CBF07" w14:textId="78347083" w:rsidR="00434EB5" w:rsidRPr="00221B78" w:rsidRDefault="00434EB5" w:rsidP="00221B78">
      <w:pPr>
        <w:pStyle w:val="ListParagraph"/>
        <w:numPr>
          <w:ilvl w:val="0"/>
          <w:numId w:val="5"/>
        </w:numPr>
        <w:rPr>
          <w:rFonts w:ascii="Calibri" w:hAnsi="Calibri" w:cs="Calibri"/>
        </w:rPr>
      </w:pPr>
      <w:r w:rsidRPr="00221B78">
        <w:rPr>
          <w:rFonts w:ascii="Calibri" w:hAnsi="Calibri" w:cs="Calibri"/>
        </w:rPr>
        <w:t xml:space="preserve">Assuming </w:t>
      </w:r>
      <w:r w:rsidR="005248CB">
        <w:rPr>
          <w:rFonts w:ascii="Calibri" w:hAnsi="Calibri" w:cs="Calibri"/>
        </w:rPr>
        <w:t xml:space="preserve">1,200 cases over the 8 years and </w:t>
      </w:r>
      <w:r w:rsidRPr="00221B78">
        <w:rPr>
          <w:rFonts w:ascii="Calibri" w:hAnsi="Calibri" w:cs="Calibri"/>
        </w:rPr>
        <w:t>a split of around 60/40 for radiotherapy against surgery…around 160 men will avoid ED problems,</w:t>
      </w:r>
      <w:r w:rsidR="009E0B18">
        <w:rPr>
          <w:rFonts w:ascii="Calibri" w:hAnsi="Calibri" w:cs="Calibri"/>
        </w:rPr>
        <w:t xml:space="preserve"> 60</w:t>
      </w:r>
      <w:r w:rsidRPr="00221B78">
        <w:rPr>
          <w:rFonts w:ascii="Calibri" w:hAnsi="Calibri" w:cs="Calibri"/>
        </w:rPr>
        <w:t xml:space="preserve"> men will avoid incontinence </w:t>
      </w:r>
      <w:r w:rsidR="00A2384A" w:rsidRPr="00221B78">
        <w:rPr>
          <w:rFonts w:ascii="Calibri" w:hAnsi="Calibri" w:cs="Calibri"/>
        </w:rPr>
        <w:t>problems,</w:t>
      </w:r>
      <w:r w:rsidRPr="00221B78">
        <w:rPr>
          <w:rFonts w:ascii="Calibri" w:hAnsi="Calibri" w:cs="Calibri"/>
        </w:rPr>
        <w:t xml:space="preserve"> and 60 men will avoid rectal damage. A total of 280 men avoiding serious life changing side effects.</w:t>
      </w:r>
    </w:p>
    <w:p w14:paraId="4D712422" w14:textId="6DA93168" w:rsidR="00EA7E79" w:rsidRPr="002723F1" w:rsidRDefault="00EA7E79" w:rsidP="002D3C18">
      <w:pPr>
        <w:rPr>
          <w:rFonts w:ascii="Calibri" w:hAnsi="Calibri" w:cs="Calibri"/>
          <w:sz w:val="22"/>
          <w:szCs w:val="22"/>
        </w:rPr>
      </w:pPr>
    </w:p>
    <w:p w14:paraId="3185C281" w14:textId="0883FF60" w:rsidR="00F21208" w:rsidRPr="002723F1" w:rsidRDefault="00F21208" w:rsidP="00F21208">
      <w:pPr>
        <w:rPr>
          <w:rFonts w:ascii="Calibri" w:hAnsi="Calibri" w:cs="Calibri"/>
          <w:sz w:val="22"/>
          <w:szCs w:val="22"/>
        </w:rPr>
      </w:pPr>
    </w:p>
    <w:sectPr w:rsidR="00F21208" w:rsidRPr="002723F1" w:rsidSect="00E07675">
      <w:headerReference w:type="default" r:id="rId7"/>
      <w:footerReference w:type="default" r:id="rId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40DB6" w14:textId="77777777" w:rsidR="0056505B" w:rsidRDefault="0056505B" w:rsidP="00F21208">
      <w:r>
        <w:separator/>
      </w:r>
    </w:p>
  </w:endnote>
  <w:endnote w:type="continuationSeparator" w:id="0">
    <w:p w14:paraId="495B2D55" w14:textId="77777777" w:rsidR="0056505B" w:rsidRDefault="0056505B" w:rsidP="00F2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159380"/>
      <w:docPartObj>
        <w:docPartGallery w:val="Page Numbers (Bottom of Page)"/>
        <w:docPartUnique/>
      </w:docPartObj>
    </w:sdtPr>
    <w:sdtEndPr/>
    <w:sdtContent>
      <w:sdt>
        <w:sdtPr>
          <w:id w:val="-1705238520"/>
          <w:docPartObj>
            <w:docPartGallery w:val="Page Numbers (Top of Page)"/>
            <w:docPartUnique/>
          </w:docPartObj>
        </w:sdtPr>
        <w:sdtEndPr/>
        <w:sdtContent>
          <w:p w14:paraId="6FE58BFC" w14:textId="083B1251" w:rsidR="00215960" w:rsidRDefault="00215960" w:rsidP="00215960">
            <w:pPr>
              <w:pStyle w:val="Footer"/>
              <w:jc w:val="right"/>
            </w:pPr>
            <w:r w:rsidRPr="00780F18">
              <w:rPr>
                <w:rFonts w:ascii="Calibri" w:hAnsi="Calibri" w:cs="Calibri"/>
                <w:sz w:val="16"/>
                <w:szCs w:val="16"/>
              </w:rPr>
              <w:t xml:space="preserve">GFCT </w:t>
            </w:r>
            <w:r w:rsidR="00780F18" w:rsidRPr="00780F18">
              <w:rPr>
                <w:rFonts w:ascii="Calibri" w:hAnsi="Calibri" w:cs="Calibri"/>
                <w:sz w:val="16"/>
                <w:szCs w:val="16"/>
              </w:rPr>
              <w:t>Focal Therapy Ltd 202</w:t>
            </w:r>
            <w:r w:rsidR="00D67F36">
              <w:rPr>
                <w:rFonts w:ascii="Calibri" w:hAnsi="Calibri" w:cs="Calibri"/>
                <w:sz w:val="16"/>
                <w:szCs w:val="16"/>
              </w:rPr>
              <w:t>5</w:t>
            </w:r>
            <w:r w:rsidR="00780F18" w:rsidRPr="00780F18">
              <w:rPr>
                <w:rFonts w:ascii="Calibri" w:hAnsi="Calibri" w:cs="Calibri"/>
                <w:sz w:val="16"/>
                <w:szCs w:val="16"/>
              </w:rPr>
              <w:t xml:space="preserve">                                  </w:t>
            </w:r>
            <w:r w:rsidR="00703D9B">
              <w:rPr>
                <w:rFonts w:ascii="Calibri" w:hAnsi="Calibri" w:cs="Calibri"/>
                <w:sz w:val="16"/>
                <w:szCs w:val="16"/>
              </w:rPr>
              <w:t xml:space="preserve">                                                                             </w:t>
            </w:r>
            <w:r w:rsidR="00780F18" w:rsidRPr="00780F18">
              <w:rPr>
                <w:sz w:val="16"/>
                <w:szCs w:val="16"/>
              </w:rPr>
              <w:t xml:space="preserve">                                                                         </w:t>
            </w:r>
            <w:r w:rsidRPr="00215960">
              <w:rPr>
                <w:sz w:val="16"/>
                <w:szCs w:val="16"/>
              </w:rPr>
              <w:t xml:space="preserve">Page </w:t>
            </w:r>
            <w:r w:rsidRPr="00215960">
              <w:rPr>
                <w:b/>
                <w:bCs/>
                <w:sz w:val="16"/>
                <w:szCs w:val="16"/>
              </w:rPr>
              <w:fldChar w:fldCharType="begin"/>
            </w:r>
            <w:r w:rsidRPr="00215960">
              <w:rPr>
                <w:b/>
                <w:bCs/>
                <w:sz w:val="16"/>
                <w:szCs w:val="16"/>
              </w:rPr>
              <w:instrText xml:space="preserve"> PAGE </w:instrText>
            </w:r>
            <w:r w:rsidRPr="00215960">
              <w:rPr>
                <w:b/>
                <w:bCs/>
                <w:sz w:val="16"/>
                <w:szCs w:val="16"/>
              </w:rPr>
              <w:fldChar w:fldCharType="separate"/>
            </w:r>
            <w:r w:rsidRPr="00215960">
              <w:rPr>
                <w:b/>
                <w:bCs/>
                <w:noProof/>
                <w:sz w:val="16"/>
                <w:szCs w:val="16"/>
              </w:rPr>
              <w:t>2</w:t>
            </w:r>
            <w:r w:rsidRPr="00215960">
              <w:rPr>
                <w:b/>
                <w:bCs/>
                <w:sz w:val="16"/>
                <w:szCs w:val="16"/>
              </w:rPr>
              <w:fldChar w:fldCharType="end"/>
            </w:r>
            <w:r w:rsidRPr="00215960">
              <w:rPr>
                <w:sz w:val="16"/>
                <w:szCs w:val="16"/>
              </w:rPr>
              <w:t xml:space="preserve"> of </w:t>
            </w:r>
            <w:r w:rsidRPr="00215960">
              <w:rPr>
                <w:b/>
                <w:bCs/>
                <w:sz w:val="16"/>
                <w:szCs w:val="16"/>
              </w:rPr>
              <w:fldChar w:fldCharType="begin"/>
            </w:r>
            <w:r w:rsidRPr="00215960">
              <w:rPr>
                <w:b/>
                <w:bCs/>
                <w:sz w:val="16"/>
                <w:szCs w:val="16"/>
              </w:rPr>
              <w:instrText xml:space="preserve"> NUMPAGES  </w:instrText>
            </w:r>
            <w:r w:rsidRPr="00215960">
              <w:rPr>
                <w:b/>
                <w:bCs/>
                <w:sz w:val="16"/>
                <w:szCs w:val="16"/>
              </w:rPr>
              <w:fldChar w:fldCharType="separate"/>
            </w:r>
            <w:r w:rsidRPr="00215960">
              <w:rPr>
                <w:b/>
                <w:bCs/>
                <w:noProof/>
                <w:sz w:val="16"/>
                <w:szCs w:val="16"/>
              </w:rPr>
              <w:t>2</w:t>
            </w:r>
            <w:r w:rsidRPr="00215960">
              <w:rPr>
                <w:b/>
                <w:bCs/>
                <w:sz w:val="16"/>
                <w:szCs w:val="16"/>
              </w:rPr>
              <w:fldChar w:fldCharType="end"/>
            </w:r>
          </w:p>
        </w:sdtContent>
      </w:sdt>
    </w:sdtContent>
  </w:sdt>
  <w:p w14:paraId="21817850" w14:textId="0073A74B" w:rsidR="003E671D" w:rsidRPr="000E4C8A" w:rsidRDefault="003E671D" w:rsidP="000E4C8A">
    <w:pPr>
      <w:pStyle w:val="Footer"/>
      <w:tabs>
        <w:tab w:val="clear" w:pos="4513"/>
        <w:tab w:val="clear" w:pos="9026"/>
        <w:tab w:val="left" w:pos="229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956EE" w14:textId="77777777" w:rsidR="0056505B" w:rsidRDefault="0056505B" w:rsidP="00F21208">
      <w:r>
        <w:separator/>
      </w:r>
    </w:p>
  </w:footnote>
  <w:footnote w:type="continuationSeparator" w:id="0">
    <w:p w14:paraId="595E3418" w14:textId="77777777" w:rsidR="0056505B" w:rsidRDefault="0056505B" w:rsidP="00F21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565FA" w14:textId="6A75BAFE" w:rsidR="00F21208" w:rsidRPr="00DE59E3" w:rsidRDefault="00771376" w:rsidP="00F21208">
    <w:pPr>
      <w:pStyle w:val="Header"/>
      <w:jc w:val="center"/>
      <w:rPr>
        <w:b/>
        <w:bCs/>
      </w:rPr>
    </w:pPr>
    <w:r>
      <w:rPr>
        <w:b/>
        <w:bCs/>
        <w:noProof/>
      </w:rPr>
      <w:drawing>
        <wp:inline distT="0" distB="0" distL="0" distR="0" wp14:anchorId="41938E52" wp14:editId="4A4871EE">
          <wp:extent cx="2190750" cy="903387"/>
          <wp:effectExtent l="0" t="0" r="0" b="0"/>
          <wp:docPr id="498992689"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92689" name="Picture 2"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06857" cy="910029"/>
                  </a:xfrm>
                  <a:prstGeom prst="rect">
                    <a:avLst/>
                  </a:prstGeom>
                </pic:spPr>
              </pic:pic>
            </a:graphicData>
          </a:graphic>
        </wp:inline>
      </w:drawing>
    </w:r>
  </w:p>
  <w:p w14:paraId="0EE3812D" w14:textId="7E602AE9" w:rsidR="00F21208" w:rsidRDefault="00692E2E" w:rsidP="00F21208">
    <w:pPr>
      <w:pStyle w:val="Header"/>
      <w:jc w:val="center"/>
    </w:pPr>
    <w:r>
      <w:rPr>
        <w:noProof/>
      </w:rPr>
      <mc:AlternateContent>
        <mc:Choice Requires="wps">
          <w:drawing>
            <wp:anchor distT="0" distB="0" distL="114300" distR="114300" simplePos="0" relativeHeight="251659264" behindDoc="0" locked="0" layoutInCell="1" allowOverlap="1" wp14:anchorId="4A5B2F52" wp14:editId="27D0D7C8">
              <wp:simplePos x="0" y="0"/>
              <wp:positionH relativeFrom="column">
                <wp:posOffset>219075</wp:posOffset>
              </wp:positionH>
              <wp:positionV relativeFrom="paragraph">
                <wp:posOffset>74295</wp:posOffset>
              </wp:positionV>
              <wp:extent cx="5562600" cy="0"/>
              <wp:effectExtent l="0" t="19050" r="38100" b="38100"/>
              <wp:wrapNone/>
              <wp:docPr id="1580101732" name="Straight Connector 2"/>
              <wp:cNvGraphicFramePr/>
              <a:graphic xmlns:a="http://schemas.openxmlformats.org/drawingml/2006/main">
                <a:graphicData uri="http://schemas.microsoft.com/office/word/2010/wordprocessingShape">
                  <wps:wsp>
                    <wps:cNvCnPr/>
                    <wps:spPr>
                      <a:xfrm>
                        <a:off x="0" y="0"/>
                        <a:ext cx="5562600" cy="0"/>
                      </a:xfrm>
                      <a:prstGeom prst="line">
                        <a:avLst/>
                      </a:prstGeom>
                      <a:ln w="57150">
                        <a:solidFill>
                          <a:srgbClr val="0F1A8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BE90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5pt,5.85pt" to="455.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" strokecolor="#0f1a87" strokeweight="4.5pt">
              <v:stroke joinstyle="miter"/>
            </v:line>
          </w:pict>
        </mc:Fallback>
      </mc:AlternateContent>
    </w:r>
  </w:p>
  <w:p w14:paraId="3D6C1D75" w14:textId="77777777" w:rsidR="00F21208" w:rsidRDefault="00F21208" w:rsidP="00F212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514CC"/>
    <w:multiLevelType w:val="hybridMultilevel"/>
    <w:tmpl w:val="E238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A6BC4"/>
    <w:multiLevelType w:val="hybridMultilevel"/>
    <w:tmpl w:val="F608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F3090"/>
    <w:multiLevelType w:val="hybridMultilevel"/>
    <w:tmpl w:val="76C60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976B1"/>
    <w:multiLevelType w:val="hybridMultilevel"/>
    <w:tmpl w:val="7A64B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0525E8"/>
    <w:multiLevelType w:val="hybridMultilevel"/>
    <w:tmpl w:val="EF02C25A"/>
    <w:lvl w:ilvl="0" w:tplc="A580B2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92252091">
    <w:abstractNumId w:val="0"/>
  </w:num>
  <w:num w:numId="2" w16cid:durableId="95752581">
    <w:abstractNumId w:val="3"/>
  </w:num>
  <w:num w:numId="3" w16cid:durableId="481698052">
    <w:abstractNumId w:val="4"/>
  </w:num>
  <w:num w:numId="4" w16cid:durableId="1462268146">
    <w:abstractNumId w:val="2"/>
  </w:num>
  <w:num w:numId="5" w16cid:durableId="248539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08"/>
    <w:rsid w:val="00053E38"/>
    <w:rsid w:val="00055CD4"/>
    <w:rsid w:val="00090909"/>
    <w:rsid w:val="00090AE8"/>
    <w:rsid w:val="00096429"/>
    <w:rsid w:val="000B49C9"/>
    <w:rsid w:val="000D218A"/>
    <w:rsid w:val="000E1424"/>
    <w:rsid w:val="000E29F4"/>
    <w:rsid w:val="000E4C8A"/>
    <w:rsid w:val="000E600C"/>
    <w:rsid w:val="000E6934"/>
    <w:rsid w:val="00101C7D"/>
    <w:rsid w:val="00114876"/>
    <w:rsid w:val="001155D0"/>
    <w:rsid w:val="00116271"/>
    <w:rsid w:val="001178ED"/>
    <w:rsid w:val="00123443"/>
    <w:rsid w:val="001275CF"/>
    <w:rsid w:val="00127B2C"/>
    <w:rsid w:val="0015140E"/>
    <w:rsid w:val="00152646"/>
    <w:rsid w:val="00160BF2"/>
    <w:rsid w:val="00172D5F"/>
    <w:rsid w:val="00175C2E"/>
    <w:rsid w:val="00192F9E"/>
    <w:rsid w:val="00193D56"/>
    <w:rsid w:val="00197AE5"/>
    <w:rsid w:val="001B35CD"/>
    <w:rsid w:val="001B4855"/>
    <w:rsid w:val="001C1C44"/>
    <w:rsid w:val="001C2F09"/>
    <w:rsid w:val="001E6464"/>
    <w:rsid w:val="002037BF"/>
    <w:rsid w:val="00215960"/>
    <w:rsid w:val="00217BB9"/>
    <w:rsid w:val="00221B78"/>
    <w:rsid w:val="002255C4"/>
    <w:rsid w:val="00242DC3"/>
    <w:rsid w:val="002506D3"/>
    <w:rsid w:val="002723F1"/>
    <w:rsid w:val="00282230"/>
    <w:rsid w:val="0028673B"/>
    <w:rsid w:val="002879C9"/>
    <w:rsid w:val="002A3B31"/>
    <w:rsid w:val="002B1935"/>
    <w:rsid w:val="002B2FB9"/>
    <w:rsid w:val="002B4A27"/>
    <w:rsid w:val="002C30CD"/>
    <w:rsid w:val="002C7873"/>
    <w:rsid w:val="002D3C18"/>
    <w:rsid w:val="002D6CC3"/>
    <w:rsid w:val="0030588B"/>
    <w:rsid w:val="0031400D"/>
    <w:rsid w:val="00322C02"/>
    <w:rsid w:val="00322C8E"/>
    <w:rsid w:val="00335851"/>
    <w:rsid w:val="00340F98"/>
    <w:rsid w:val="0034699A"/>
    <w:rsid w:val="00351168"/>
    <w:rsid w:val="00367F78"/>
    <w:rsid w:val="003728CA"/>
    <w:rsid w:val="003A16A0"/>
    <w:rsid w:val="003A1EA4"/>
    <w:rsid w:val="003B0F8C"/>
    <w:rsid w:val="003D16F8"/>
    <w:rsid w:val="003E671D"/>
    <w:rsid w:val="0040485C"/>
    <w:rsid w:val="00414C75"/>
    <w:rsid w:val="00427811"/>
    <w:rsid w:val="00434EB5"/>
    <w:rsid w:val="004427FD"/>
    <w:rsid w:val="00444B34"/>
    <w:rsid w:val="00455E40"/>
    <w:rsid w:val="00474A2D"/>
    <w:rsid w:val="00476083"/>
    <w:rsid w:val="00496F7F"/>
    <w:rsid w:val="004B2951"/>
    <w:rsid w:val="004B2FBA"/>
    <w:rsid w:val="004B54A9"/>
    <w:rsid w:val="0050148E"/>
    <w:rsid w:val="0050149A"/>
    <w:rsid w:val="0052073A"/>
    <w:rsid w:val="005248CB"/>
    <w:rsid w:val="00531C61"/>
    <w:rsid w:val="00536C7C"/>
    <w:rsid w:val="005411BD"/>
    <w:rsid w:val="00547BB0"/>
    <w:rsid w:val="00562045"/>
    <w:rsid w:val="0056505B"/>
    <w:rsid w:val="005B434A"/>
    <w:rsid w:val="005C7A0A"/>
    <w:rsid w:val="005D3F67"/>
    <w:rsid w:val="005D5E19"/>
    <w:rsid w:val="00604A2C"/>
    <w:rsid w:val="0061547E"/>
    <w:rsid w:val="0061710A"/>
    <w:rsid w:val="006312B7"/>
    <w:rsid w:val="00635132"/>
    <w:rsid w:val="0064133D"/>
    <w:rsid w:val="00655D76"/>
    <w:rsid w:val="00665A94"/>
    <w:rsid w:val="00670A02"/>
    <w:rsid w:val="00673CA3"/>
    <w:rsid w:val="006755E7"/>
    <w:rsid w:val="006765E5"/>
    <w:rsid w:val="00692E2E"/>
    <w:rsid w:val="006C2153"/>
    <w:rsid w:val="006C409B"/>
    <w:rsid w:val="006D7EBA"/>
    <w:rsid w:val="00702DA9"/>
    <w:rsid w:val="00703D9B"/>
    <w:rsid w:val="0072080E"/>
    <w:rsid w:val="00731C3C"/>
    <w:rsid w:val="007626F3"/>
    <w:rsid w:val="00771376"/>
    <w:rsid w:val="00777AC6"/>
    <w:rsid w:val="00780F18"/>
    <w:rsid w:val="0078754A"/>
    <w:rsid w:val="00796C15"/>
    <w:rsid w:val="00796CDF"/>
    <w:rsid w:val="007B77EC"/>
    <w:rsid w:val="007C0A83"/>
    <w:rsid w:val="007D39E8"/>
    <w:rsid w:val="007E4525"/>
    <w:rsid w:val="00802202"/>
    <w:rsid w:val="00822B29"/>
    <w:rsid w:val="00826AEB"/>
    <w:rsid w:val="00827C6A"/>
    <w:rsid w:val="00831DA1"/>
    <w:rsid w:val="008378E2"/>
    <w:rsid w:val="0087677F"/>
    <w:rsid w:val="00884FED"/>
    <w:rsid w:val="008D47AA"/>
    <w:rsid w:val="008E2FE2"/>
    <w:rsid w:val="009000F5"/>
    <w:rsid w:val="00905E52"/>
    <w:rsid w:val="0091156F"/>
    <w:rsid w:val="009243CF"/>
    <w:rsid w:val="00972B92"/>
    <w:rsid w:val="00986F55"/>
    <w:rsid w:val="009A2F6C"/>
    <w:rsid w:val="009C08DB"/>
    <w:rsid w:val="009E0B18"/>
    <w:rsid w:val="009E4420"/>
    <w:rsid w:val="009F5821"/>
    <w:rsid w:val="00A01977"/>
    <w:rsid w:val="00A11EB4"/>
    <w:rsid w:val="00A14D57"/>
    <w:rsid w:val="00A2384A"/>
    <w:rsid w:val="00A65566"/>
    <w:rsid w:val="00A721F6"/>
    <w:rsid w:val="00A8281E"/>
    <w:rsid w:val="00A8448A"/>
    <w:rsid w:val="00A946E0"/>
    <w:rsid w:val="00A94EDA"/>
    <w:rsid w:val="00A97661"/>
    <w:rsid w:val="00AA68E7"/>
    <w:rsid w:val="00AB2691"/>
    <w:rsid w:val="00AB3FC9"/>
    <w:rsid w:val="00AD31C5"/>
    <w:rsid w:val="00AD574F"/>
    <w:rsid w:val="00AD64E7"/>
    <w:rsid w:val="00AF49A1"/>
    <w:rsid w:val="00B21630"/>
    <w:rsid w:val="00B65104"/>
    <w:rsid w:val="00B706F4"/>
    <w:rsid w:val="00B867D4"/>
    <w:rsid w:val="00B902C8"/>
    <w:rsid w:val="00BD01D9"/>
    <w:rsid w:val="00BD1D5F"/>
    <w:rsid w:val="00BD75C8"/>
    <w:rsid w:val="00BD7805"/>
    <w:rsid w:val="00C052A1"/>
    <w:rsid w:val="00C32C22"/>
    <w:rsid w:val="00C56000"/>
    <w:rsid w:val="00C63F12"/>
    <w:rsid w:val="00CA4AC9"/>
    <w:rsid w:val="00CA551E"/>
    <w:rsid w:val="00CC4D05"/>
    <w:rsid w:val="00CC64F6"/>
    <w:rsid w:val="00D10884"/>
    <w:rsid w:val="00D22045"/>
    <w:rsid w:val="00D31E11"/>
    <w:rsid w:val="00D3559D"/>
    <w:rsid w:val="00D67F36"/>
    <w:rsid w:val="00D86708"/>
    <w:rsid w:val="00D97FD8"/>
    <w:rsid w:val="00DA1699"/>
    <w:rsid w:val="00DA7E1B"/>
    <w:rsid w:val="00DB10B5"/>
    <w:rsid w:val="00DB1C54"/>
    <w:rsid w:val="00DE59E3"/>
    <w:rsid w:val="00E002E2"/>
    <w:rsid w:val="00E02538"/>
    <w:rsid w:val="00E07675"/>
    <w:rsid w:val="00E239D9"/>
    <w:rsid w:val="00E316EE"/>
    <w:rsid w:val="00E3523F"/>
    <w:rsid w:val="00E672E5"/>
    <w:rsid w:val="00E757CE"/>
    <w:rsid w:val="00E81BFB"/>
    <w:rsid w:val="00EA7E79"/>
    <w:rsid w:val="00EF6E4A"/>
    <w:rsid w:val="00F011EB"/>
    <w:rsid w:val="00F054AB"/>
    <w:rsid w:val="00F12C57"/>
    <w:rsid w:val="00F21208"/>
    <w:rsid w:val="00F4768E"/>
    <w:rsid w:val="00F62650"/>
    <w:rsid w:val="00F62FF1"/>
    <w:rsid w:val="00F7074E"/>
    <w:rsid w:val="00F83904"/>
    <w:rsid w:val="00FA74B7"/>
    <w:rsid w:val="00FB738E"/>
    <w:rsid w:val="00FC3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B7C20"/>
  <w15:chartTrackingRefBased/>
  <w15:docId w15:val="{A3327B61-751F-4B6E-A917-4B5291A7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208"/>
    <w:pPr>
      <w:spacing w:after="0" w:line="240" w:lineRule="auto"/>
    </w:pPr>
    <w:rPr>
      <w:rFonts w:ascii="Aptos" w:hAnsi="Aptos" w:cs="Aptos"/>
      <w:sz w:val="24"/>
      <w:szCs w:val="24"/>
      <w:lang w:eastAsia="en-GB"/>
    </w:rPr>
  </w:style>
  <w:style w:type="paragraph" w:styleId="Heading1">
    <w:name w:val="heading 1"/>
    <w:basedOn w:val="Normal"/>
    <w:next w:val="Normal"/>
    <w:link w:val="Heading1Char"/>
    <w:uiPriority w:val="9"/>
    <w:qFormat/>
    <w:rsid w:val="00F2120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F2120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F2120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F21208"/>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F21208"/>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F21208"/>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F21208"/>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F21208"/>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F21208"/>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2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208"/>
    <w:rPr>
      <w:rFonts w:eastAsiaTheme="majorEastAsia" w:cstheme="majorBidi"/>
      <w:color w:val="272727" w:themeColor="text1" w:themeTint="D8"/>
    </w:rPr>
  </w:style>
  <w:style w:type="paragraph" w:styleId="Title">
    <w:name w:val="Title"/>
    <w:basedOn w:val="Normal"/>
    <w:next w:val="Normal"/>
    <w:link w:val="TitleChar"/>
    <w:uiPriority w:val="10"/>
    <w:qFormat/>
    <w:rsid w:val="00F21208"/>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21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208"/>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F21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208"/>
    <w:pPr>
      <w:spacing w:before="160" w:after="160" w:line="259" w:lineRule="auto"/>
      <w:jc w:val="center"/>
    </w:pPr>
    <w:rPr>
      <w:rFonts w:ascii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F21208"/>
    <w:rPr>
      <w:i/>
      <w:iCs/>
      <w:color w:val="404040" w:themeColor="text1" w:themeTint="BF"/>
    </w:rPr>
  </w:style>
  <w:style w:type="paragraph" w:styleId="ListParagraph">
    <w:name w:val="List Paragraph"/>
    <w:basedOn w:val="Normal"/>
    <w:uiPriority w:val="34"/>
    <w:qFormat/>
    <w:rsid w:val="00F21208"/>
    <w:pPr>
      <w:spacing w:after="160" w:line="259" w:lineRule="auto"/>
      <w:ind w:left="720"/>
      <w:contextualSpacing/>
    </w:pPr>
    <w:rPr>
      <w:rFonts w:asciiTheme="minorHAnsi" w:hAnsiTheme="minorHAnsi" w:cstheme="minorBidi"/>
      <w:sz w:val="22"/>
      <w:szCs w:val="22"/>
      <w:lang w:eastAsia="en-US"/>
    </w:rPr>
  </w:style>
  <w:style w:type="character" w:styleId="IntenseEmphasis">
    <w:name w:val="Intense Emphasis"/>
    <w:basedOn w:val="DefaultParagraphFont"/>
    <w:uiPriority w:val="21"/>
    <w:qFormat/>
    <w:rsid w:val="00F21208"/>
    <w:rPr>
      <w:i/>
      <w:iCs/>
      <w:color w:val="0F4761" w:themeColor="accent1" w:themeShade="BF"/>
    </w:rPr>
  </w:style>
  <w:style w:type="paragraph" w:styleId="IntenseQuote">
    <w:name w:val="Intense Quote"/>
    <w:basedOn w:val="Normal"/>
    <w:next w:val="Normal"/>
    <w:link w:val="IntenseQuoteChar"/>
    <w:uiPriority w:val="30"/>
    <w:qFormat/>
    <w:rsid w:val="00F2120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F21208"/>
    <w:rPr>
      <w:i/>
      <w:iCs/>
      <w:color w:val="0F4761" w:themeColor="accent1" w:themeShade="BF"/>
    </w:rPr>
  </w:style>
  <w:style w:type="character" w:styleId="IntenseReference">
    <w:name w:val="Intense Reference"/>
    <w:basedOn w:val="DefaultParagraphFont"/>
    <w:uiPriority w:val="32"/>
    <w:qFormat/>
    <w:rsid w:val="00F21208"/>
    <w:rPr>
      <w:b/>
      <w:bCs/>
      <w:smallCaps/>
      <w:color w:val="0F4761" w:themeColor="accent1" w:themeShade="BF"/>
      <w:spacing w:val="5"/>
    </w:rPr>
  </w:style>
  <w:style w:type="paragraph" w:styleId="Header">
    <w:name w:val="header"/>
    <w:basedOn w:val="Normal"/>
    <w:link w:val="HeaderChar"/>
    <w:uiPriority w:val="99"/>
    <w:unhideWhenUsed/>
    <w:rsid w:val="00F21208"/>
    <w:pPr>
      <w:tabs>
        <w:tab w:val="center" w:pos="4513"/>
        <w:tab w:val="right" w:pos="9026"/>
      </w:tabs>
    </w:pPr>
  </w:style>
  <w:style w:type="character" w:customStyle="1" w:styleId="HeaderChar">
    <w:name w:val="Header Char"/>
    <w:basedOn w:val="DefaultParagraphFont"/>
    <w:link w:val="Header"/>
    <w:uiPriority w:val="99"/>
    <w:rsid w:val="00F21208"/>
    <w:rPr>
      <w:rFonts w:ascii="Aptos" w:hAnsi="Aptos" w:cs="Aptos"/>
      <w:sz w:val="24"/>
      <w:szCs w:val="24"/>
      <w:lang w:eastAsia="en-GB"/>
    </w:rPr>
  </w:style>
  <w:style w:type="paragraph" w:styleId="Footer">
    <w:name w:val="footer"/>
    <w:basedOn w:val="Normal"/>
    <w:link w:val="FooterChar"/>
    <w:uiPriority w:val="99"/>
    <w:unhideWhenUsed/>
    <w:rsid w:val="00F21208"/>
    <w:pPr>
      <w:tabs>
        <w:tab w:val="center" w:pos="4513"/>
        <w:tab w:val="right" w:pos="9026"/>
      </w:tabs>
    </w:pPr>
  </w:style>
  <w:style w:type="character" w:customStyle="1" w:styleId="FooterChar">
    <w:name w:val="Footer Char"/>
    <w:basedOn w:val="DefaultParagraphFont"/>
    <w:link w:val="Footer"/>
    <w:uiPriority w:val="99"/>
    <w:rsid w:val="00F21208"/>
    <w:rPr>
      <w:rFonts w:ascii="Aptos" w:hAnsi="Aptos" w:cs="Aptos"/>
      <w:sz w:val="24"/>
      <w:szCs w:val="24"/>
      <w:lang w:eastAsia="en-GB"/>
    </w:rPr>
  </w:style>
  <w:style w:type="paragraph" w:styleId="Revision">
    <w:name w:val="Revision"/>
    <w:hidden/>
    <w:uiPriority w:val="99"/>
    <w:semiHidden/>
    <w:rsid w:val="00562045"/>
    <w:pPr>
      <w:spacing w:after="0" w:line="240" w:lineRule="auto"/>
    </w:pPr>
    <w:rPr>
      <w:rFonts w:ascii="Aptos" w:hAnsi="Aptos" w:cs="Aptos"/>
      <w:sz w:val="24"/>
      <w:szCs w:val="24"/>
      <w:lang w:eastAsia="en-GB"/>
    </w:rPr>
  </w:style>
  <w:style w:type="table" w:styleId="TableGrid">
    <w:name w:val="Table Grid"/>
    <w:basedOn w:val="TableNormal"/>
    <w:uiPriority w:val="39"/>
    <w:rsid w:val="0053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cp:lastPrinted>2025-03-09T10:02:00Z</cp:lastPrinted>
  <dcterms:created xsi:type="dcterms:W3CDTF">2025-04-18T08:55:00Z</dcterms:created>
  <dcterms:modified xsi:type="dcterms:W3CDTF">2025-04-18T08:55:00Z</dcterms:modified>
</cp:coreProperties>
</file>